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>Федеральное государственное бюджетное учреждение науки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>Центр теоретических проблем Физико-химической фармакологии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</w:rPr>
      </w:pPr>
      <w:r w:rsidRPr="00B91878">
        <w:rPr>
          <w:b/>
        </w:rPr>
        <w:t>Российской академии наук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</w:rPr>
      </w:pPr>
    </w:p>
    <w:tbl>
      <w:tblPr>
        <w:tblW w:w="94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1440"/>
        <w:gridCol w:w="3888"/>
      </w:tblGrid>
      <w:tr w:rsidR="00ED3DC2" w:rsidRPr="00800633" w:rsidTr="00CD00B8">
        <w:trPr>
          <w:trHeight w:val="2506"/>
        </w:trPr>
        <w:tc>
          <w:tcPr>
            <w:tcW w:w="4140" w:type="dxa"/>
          </w:tcPr>
          <w:p w:rsidR="00ED3DC2" w:rsidRPr="00B91878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91878">
              <w:rPr>
                <w:color w:val="000000"/>
                <w:sz w:val="24"/>
                <w:szCs w:val="24"/>
              </w:rPr>
              <w:t xml:space="preserve">УДК: </w:t>
            </w:r>
            <w:r w:rsidR="006D3911" w:rsidRPr="00B91878">
              <w:rPr>
                <w:color w:val="333333"/>
                <w:sz w:val="24"/>
                <w:szCs w:val="24"/>
              </w:rPr>
              <w:t>57</w:t>
            </w:r>
            <w:r w:rsidR="006D3911" w:rsidRPr="00B91878">
              <w:rPr>
                <w:color w:val="333333"/>
                <w:sz w:val="24"/>
                <w:szCs w:val="24"/>
                <w:lang w:val="ru-RU"/>
              </w:rPr>
              <w:t>6</w:t>
            </w:r>
            <w:r w:rsidR="005E35FF" w:rsidRPr="00B91878">
              <w:rPr>
                <w:color w:val="333333"/>
                <w:sz w:val="24"/>
                <w:szCs w:val="24"/>
              </w:rPr>
              <w:t>.3</w:t>
            </w:r>
          </w:p>
          <w:p w:rsidR="00ED3DC2" w:rsidRPr="00B91878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D3DC2" w:rsidRPr="00B91878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91878">
              <w:rPr>
                <w:color w:val="000000"/>
                <w:sz w:val="24"/>
                <w:szCs w:val="24"/>
              </w:rPr>
              <w:t xml:space="preserve">Регистрационный № </w:t>
            </w:r>
            <w:r w:rsidR="006D3911" w:rsidRPr="00B91878">
              <w:rPr>
                <w:color w:val="222222"/>
                <w:sz w:val="24"/>
                <w:szCs w:val="24"/>
                <w:shd w:val="clear" w:color="auto" w:fill="FFFFFF"/>
              </w:rPr>
              <w:t>0302425980320</w:t>
            </w:r>
          </w:p>
          <w:p w:rsidR="00ED3DC2" w:rsidRPr="00B91878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91878">
              <w:rPr>
                <w:color w:val="000000"/>
                <w:sz w:val="24"/>
                <w:szCs w:val="24"/>
              </w:rPr>
              <w:t xml:space="preserve">Инв. № </w:t>
            </w:r>
            <w:r w:rsidR="00800633" w:rsidRPr="00B91878">
              <w:rPr>
                <w:sz w:val="24"/>
                <w:lang w:val="ru-RU"/>
              </w:rPr>
              <w:t>0131-2015-0002</w:t>
            </w:r>
          </w:p>
          <w:p w:rsidR="00ED3DC2" w:rsidRPr="00B91878" w:rsidRDefault="00ED3DC2" w:rsidP="00CD00B8">
            <w:pPr>
              <w:spacing w:line="360" w:lineRule="auto"/>
              <w:ind w:firstLine="540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ED3DC2" w:rsidRPr="00B91878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91878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91878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91878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ED3DC2" w:rsidRPr="00B91878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91878">
              <w:rPr>
                <w:lang w:val="ru-RU"/>
              </w:rPr>
              <w:t>УТВЕРЖДАЮ</w:t>
            </w:r>
          </w:p>
          <w:p w:rsidR="00ED3DC2" w:rsidRPr="00B91878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91878">
              <w:rPr>
                <w:lang w:val="ru-RU"/>
              </w:rPr>
              <w:t>Директор</w:t>
            </w:r>
          </w:p>
          <w:p w:rsidR="00ED3DC2" w:rsidRPr="00B91878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</w:p>
          <w:p w:rsidR="00ED3DC2" w:rsidRPr="00B91878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91878">
              <w:rPr>
                <w:lang w:val="ru-RU"/>
              </w:rPr>
              <w:t>_________Ф.И. Атауллаханов</w:t>
            </w:r>
          </w:p>
          <w:p w:rsidR="00ED3DC2" w:rsidRPr="00B91878" w:rsidRDefault="00ED3DC2" w:rsidP="00ED3DC2">
            <w:pPr>
              <w:spacing w:line="360" w:lineRule="auto"/>
              <w:ind w:firstLine="540"/>
              <w:rPr>
                <w:lang w:val="ru-RU"/>
              </w:rPr>
            </w:pPr>
            <w:r w:rsidRPr="00B91878">
              <w:rPr>
                <w:lang w:val="ru-RU"/>
              </w:rPr>
              <w:t>«___»</w:t>
            </w:r>
            <w:r w:rsidRPr="00B91878">
              <w:t> </w:t>
            </w:r>
            <w:r w:rsidRPr="00B91878">
              <w:rPr>
                <w:lang w:val="ru-RU"/>
              </w:rPr>
              <w:t>______________</w:t>
            </w:r>
            <w:r w:rsidRPr="00B91878">
              <w:t> </w:t>
            </w:r>
            <w:r w:rsidRPr="00B91878">
              <w:rPr>
                <w:lang w:val="ru-RU"/>
              </w:rPr>
              <w:t>2016 г.</w:t>
            </w:r>
          </w:p>
        </w:tc>
      </w:tr>
    </w:tbl>
    <w:p w:rsidR="00ED3DC2" w:rsidRPr="00B91878" w:rsidRDefault="00ED3DC2" w:rsidP="00ED3DC2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B91878">
        <w:rPr>
          <w:lang w:val="ru-RU"/>
        </w:rPr>
        <w:t>М.П.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>Отчет о результатах исследований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 xml:space="preserve">по программе </w:t>
      </w:r>
      <w:r w:rsidR="00B644A1" w:rsidRPr="00B91878">
        <w:rPr>
          <w:b/>
          <w:lang w:val="ru-RU"/>
        </w:rPr>
        <w:t>6П Президиума РАН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>«</w:t>
      </w:r>
      <w:r w:rsidR="00720022" w:rsidRPr="00B91878">
        <w:rPr>
          <w:b/>
          <w:lang w:val="ru-RU"/>
        </w:rPr>
        <w:t>Молекулярная и клеточная биология</w:t>
      </w:r>
      <w:r w:rsidRPr="00B91878">
        <w:rPr>
          <w:b/>
          <w:lang w:val="ru-RU"/>
        </w:rPr>
        <w:t>»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B91878">
        <w:rPr>
          <w:b/>
          <w:lang w:val="ru-RU"/>
        </w:rPr>
        <w:t xml:space="preserve">Название проекта: </w:t>
      </w:r>
      <w:r w:rsidR="00720022" w:rsidRPr="00B91878">
        <w:rPr>
          <w:b/>
          <w:lang w:val="ru-RU"/>
        </w:rPr>
        <w:t>Исследования пространственной динамики процессов деления клетки и свертывания крови</w:t>
      </w:r>
      <w:r w:rsidRPr="00B91878">
        <w:rPr>
          <w:b/>
          <w:lang w:val="ru-RU"/>
        </w:rPr>
        <w:t>.</w:t>
      </w: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B91878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9C5790" w:rsidRPr="00ED3DC2" w:rsidRDefault="009C5790" w:rsidP="009C5790">
      <w:pPr>
        <w:pStyle w:val="BodyText"/>
        <w:rPr>
          <w:b/>
          <w:lang w:val="ru-RU"/>
        </w:rPr>
      </w:pPr>
      <w:r w:rsidRPr="00ED3DC2">
        <w:rPr>
          <w:rFonts w:eastAsia="Calibri"/>
          <w:sz w:val="24"/>
          <w:szCs w:val="24"/>
          <w:lang w:val="ru-RU"/>
        </w:rPr>
        <w:t>Руководитель проекта</w:t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  <w:t>___________</w:t>
      </w:r>
      <w:r w:rsidRPr="00ED3DC2">
        <w:rPr>
          <w:b/>
          <w:lang w:val="ru-RU"/>
        </w:rPr>
        <w:t xml:space="preserve"> /</w:t>
      </w:r>
      <w:r w:rsidRPr="00ED3DC2">
        <w:rPr>
          <w:rFonts w:eastAsia="Calibri"/>
          <w:sz w:val="24"/>
          <w:szCs w:val="24"/>
          <w:lang w:val="ru-RU"/>
        </w:rPr>
        <w:t>Ф.И. Атауллаханов</w:t>
      </w:r>
      <w:r w:rsidRPr="00ED3DC2">
        <w:rPr>
          <w:b/>
          <w:lang w:val="ru-RU"/>
        </w:rPr>
        <w:t xml:space="preserve"> /</w:t>
      </w:r>
    </w:p>
    <w:p w:rsidR="009C5790" w:rsidRPr="00ED3DC2" w:rsidRDefault="009C5790" w:rsidP="009C5790">
      <w:pPr>
        <w:pStyle w:val="BodyText"/>
        <w:rPr>
          <w:bCs/>
          <w:sz w:val="18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  <w:t xml:space="preserve">     </w:t>
      </w:r>
      <w:r w:rsidRPr="00ED3DC2">
        <w:rPr>
          <w:bCs/>
          <w:sz w:val="18"/>
          <w:lang w:val="ru-RU"/>
        </w:rPr>
        <w:t>подпись</w:t>
      </w:r>
      <w:r w:rsidRPr="00ED3DC2">
        <w:rPr>
          <w:bCs/>
          <w:sz w:val="18"/>
          <w:lang w:val="ru-RU"/>
        </w:rPr>
        <w:tab/>
      </w:r>
      <w:r w:rsidRPr="00ED3DC2">
        <w:rPr>
          <w:bCs/>
          <w:sz w:val="18"/>
          <w:lang w:val="ru-RU"/>
        </w:rPr>
        <w:tab/>
        <w:t xml:space="preserve">расшифровка </w:t>
      </w:r>
    </w:p>
    <w:p w:rsidR="009C5790" w:rsidRPr="00ED3DC2" w:rsidRDefault="009C5790" w:rsidP="009C5790">
      <w:pPr>
        <w:pStyle w:val="BodyText"/>
        <w:ind w:left="4956"/>
        <w:rPr>
          <w:rFonts w:eastAsia="Calibri"/>
          <w:sz w:val="24"/>
          <w:szCs w:val="24"/>
          <w:lang w:val="ru-RU"/>
        </w:rPr>
      </w:pPr>
      <w:bookmarkStart w:id="0" w:name="_GoBack"/>
      <w:bookmarkEnd w:id="0"/>
    </w:p>
    <w:p w:rsidR="00ED3DC2" w:rsidRPr="00B91878" w:rsidRDefault="00ED3DC2" w:rsidP="00ED3DC2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ED3DC2" w:rsidRPr="00B91878" w:rsidRDefault="00ED3DC2" w:rsidP="00ED3DC2">
      <w:pPr>
        <w:pStyle w:val="1"/>
        <w:spacing w:line="360" w:lineRule="auto"/>
        <w:ind w:left="0" w:firstLine="540"/>
        <w:jc w:val="center"/>
        <w:rPr>
          <w:lang w:val="ru-RU"/>
        </w:rPr>
      </w:pPr>
      <w:r w:rsidRPr="00B91878">
        <w:rPr>
          <w:lang w:val="ru-RU"/>
        </w:rPr>
        <w:t>Москва 2016</w:t>
      </w:r>
    </w:p>
    <w:p w:rsidR="00ED3DC2" w:rsidRPr="00B91878" w:rsidRDefault="00ED3DC2" w:rsidP="00ED3DC2">
      <w:pPr>
        <w:spacing w:after="160" w:line="259" w:lineRule="auto"/>
        <w:jc w:val="left"/>
        <w:rPr>
          <w:lang w:val="ru-RU"/>
        </w:rPr>
      </w:pPr>
      <w:r w:rsidRPr="00B91878">
        <w:rPr>
          <w:lang w:val="ru-RU"/>
        </w:rPr>
        <w:br w:type="page"/>
      </w:r>
    </w:p>
    <w:p w:rsidR="00305B67" w:rsidRPr="00B91878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lastRenderedPageBreak/>
        <w:t>СПИСОК ИСПОЛНИТЕЛЕЙ</w:t>
      </w:r>
    </w:p>
    <w:p w:rsidR="00305B67" w:rsidRPr="00B91878" w:rsidRDefault="00305B67" w:rsidP="00305B67">
      <w:pPr>
        <w:jc w:val="center"/>
        <w:rPr>
          <w:sz w:val="24"/>
          <w:szCs w:val="24"/>
          <w:lang w:val="ru-RU"/>
        </w:rPr>
      </w:pPr>
    </w:p>
    <w:p w:rsidR="002D678E" w:rsidRPr="00B91878" w:rsidRDefault="002D678E" w:rsidP="002D678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Руководитель, член-корр РАН, д. б. н. проф.</w:t>
      </w:r>
      <w:r w:rsidRPr="00B91878">
        <w:rPr>
          <w:sz w:val="24"/>
          <w:szCs w:val="24"/>
          <w:lang w:val="ru-RU"/>
        </w:rPr>
        <w:tab/>
        <w:t>______________________ Атауллаханов Ф.И.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0"/>
          <w:szCs w:val="20"/>
          <w:lang w:val="ru-RU"/>
        </w:rPr>
        <w:t>подпись, дата</w:t>
      </w:r>
    </w:p>
    <w:p w:rsidR="002D678E" w:rsidRPr="00B91878" w:rsidRDefault="002D678E" w:rsidP="002D678E">
      <w:pPr>
        <w:jc w:val="center"/>
        <w:rPr>
          <w:sz w:val="18"/>
          <w:szCs w:val="20"/>
          <w:lang w:val="ru-RU"/>
        </w:rPr>
      </w:pPr>
    </w:p>
    <w:p w:rsidR="002D678E" w:rsidRPr="00B91878" w:rsidRDefault="002D678E" w:rsidP="002D678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в.н.с., к.б.н.                       </w:t>
      </w:r>
      <w:r w:rsidRPr="00B91878">
        <w:rPr>
          <w:sz w:val="24"/>
          <w:szCs w:val="24"/>
          <w:lang w:val="ru-RU"/>
        </w:rPr>
        <w:tab/>
        <w:t xml:space="preserve"> 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Волков В.А.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0"/>
          <w:szCs w:val="20"/>
          <w:lang w:val="ru-RU"/>
        </w:rPr>
        <w:t>подпись, дата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</w:p>
    <w:p w:rsidR="002D678E" w:rsidRPr="00B91878" w:rsidRDefault="002D678E" w:rsidP="002D678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стажер-исследователь</w:t>
      </w:r>
      <w:r w:rsidRPr="00B91878">
        <w:rPr>
          <w:sz w:val="24"/>
          <w:szCs w:val="24"/>
          <w:lang w:val="ru-RU"/>
        </w:rPr>
        <w:tab/>
        <w:t xml:space="preserve">            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Захаров П. Н.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</w:p>
    <w:p w:rsidR="002D678E" w:rsidRPr="00B91878" w:rsidRDefault="005D3C4E" w:rsidP="002D678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в.н.с, д</w:t>
      </w:r>
      <w:r w:rsidR="002D678E" w:rsidRPr="00B91878">
        <w:rPr>
          <w:sz w:val="24"/>
          <w:szCs w:val="24"/>
          <w:lang w:val="ru-RU"/>
        </w:rPr>
        <w:t xml:space="preserve">.б.н.      </w:t>
      </w:r>
      <w:r w:rsidR="002D678E" w:rsidRPr="00B91878">
        <w:rPr>
          <w:sz w:val="24"/>
          <w:szCs w:val="24"/>
          <w:lang w:val="ru-RU"/>
        </w:rPr>
        <w:tab/>
      </w:r>
      <w:r w:rsidR="002D678E" w:rsidRPr="00B91878">
        <w:rPr>
          <w:sz w:val="24"/>
          <w:szCs w:val="24"/>
          <w:lang w:val="ru-RU"/>
        </w:rPr>
        <w:tab/>
        <w:t xml:space="preserve"> </w:t>
      </w:r>
      <w:r w:rsidR="002D678E" w:rsidRPr="00B91878">
        <w:rPr>
          <w:sz w:val="24"/>
          <w:szCs w:val="24"/>
          <w:lang w:val="ru-RU"/>
        </w:rPr>
        <w:tab/>
      </w:r>
      <w:r w:rsidR="002D678E" w:rsidRPr="00B91878">
        <w:rPr>
          <w:sz w:val="24"/>
          <w:szCs w:val="24"/>
          <w:lang w:val="ru-RU"/>
        </w:rPr>
        <w:tab/>
      </w:r>
      <w:r w:rsidR="002D678E" w:rsidRPr="00B91878">
        <w:rPr>
          <w:sz w:val="24"/>
          <w:szCs w:val="24"/>
          <w:lang w:val="ru-RU"/>
        </w:rPr>
        <w:tab/>
        <w:t xml:space="preserve">______________________ </w:t>
      </w:r>
      <w:r w:rsidRPr="00B91878">
        <w:rPr>
          <w:sz w:val="24"/>
          <w:szCs w:val="24"/>
          <w:lang w:val="ru-RU"/>
        </w:rPr>
        <w:t>Наумов Ю.И.</w:t>
      </w:r>
    </w:p>
    <w:p w:rsidR="002D678E" w:rsidRPr="00B91878" w:rsidRDefault="002D678E" w:rsidP="002D678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</w:p>
    <w:p w:rsidR="005D3C4E" w:rsidRPr="00B91878" w:rsidRDefault="005D3C4E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с.н.с, к.б.н.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Федянина О.С.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</w:p>
    <w:p w:rsidR="005D3C4E" w:rsidRPr="00B91878" w:rsidRDefault="005D3C4E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с.н.с, к.ф-м.н.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Кузнецова С.А.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</w:p>
    <w:p w:rsidR="005D3C4E" w:rsidRPr="00B91878" w:rsidRDefault="00315DDD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с.н.с, д.х</w:t>
      </w:r>
      <w:r w:rsidR="005D3C4E" w:rsidRPr="00B91878">
        <w:rPr>
          <w:sz w:val="24"/>
          <w:szCs w:val="24"/>
          <w:lang w:val="ru-RU"/>
        </w:rPr>
        <w:t xml:space="preserve">.н.     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 xml:space="preserve">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>______________________ Синауридзе Е.И.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18"/>
          <w:szCs w:val="20"/>
          <w:lang w:val="ru-RU"/>
        </w:rPr>
      </w:pPr>
    </w:p>
    <w:p w:rsidR="005D3C4E" w:rsidRPr="00B91878" w:rsidRDefault="005D3C4E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н.с, к.б.н.</w:t>
      </w:r>
      <w:r w:rsidR="00315DDD"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 xml:space="preserve">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Свешникова А.Н.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18"/>
          <w:szCs w:val="20"/>
          <w:lang w:val="ru-RU"/>
        </w:rPr>
      </w:pPr>
    </w:p>
    <w:p w:rsidR="005D3C4E" w:rsidRPr="00B91878" w:rsidRDefault="00315DDD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инж.-исслед.</w:t>
      </w:r>
      <w:r w:rsidR="005D3C4E" w:rsidRPr="00B91878">
        <w:rPr>
          <w:sz w:val="24"/>
          <w:szCs w:val="24"/>
          <w:lang w:val="ru-RU"/>
        </w:rPr>
        <w:t xml:space="preserve">     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 xml:space="preserve">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>______________________ Шноль А.Э.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</w:p>
    <w:p w:rsidR="005D3C4E" w:rsidRPr="00B91878" w:rsidRDefault="00315DDD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н.с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 xml:space="preserve">     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 xml:space="preserve">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>______________________ Колядко В.Н.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</w:p>
    <w:p w:rsidR="005D3C4E" w:rsidRPr="00B91878" w:rsidRDefault="00315DDD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в</w:t>
      </w:r>
      <w:r w:rsidR="005D3C4E" w:rsidRPr="00B91878">
        <w:rPr>
          <w:sz w:val="24"/>
          <w:szCs w:val="24"/>
          <w:lang w:val="ru-RU"/>
        </w:rPr>
        <w:t xml:space="preserve">.н.с, к.б.н.     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 xml:space="preserve"> </w:t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</w:r>
      <w:r w:rsidR="005D3C4E" w:rsidRPr="00B91878">
        <w:rPr>
          <w:sz w:val="24"/>
          <w:szCs w:val="24"/>
          <w:lang w:val="ru-RU"/>
        </w:rPr>
        <w:tab/>
        <w:t>______________________ Мартынов М.В.</w:t>
      </w:r>
    </w:p>
    <w:p w:rsidR="005D3C4E" w:rsidRPr="00B91878" w:rsidRDefault="005D3C4E" w:rsidP="005D3C4E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D3C4E" w:rsidRPr="00B91878" w:rsidRDefault="005D3C4E" w:rsidP="005D3C4E">
      <w:pPr>
        <w:jc w:val="center"/>
        <w:rPr>
          <w:sz w:val="18"/>
          <w:szCs w:val="20"/>
          <w:lang w:val="ru-RU"/>
        </w:rPr>
      </w:pPr>
    </w:p>
    <w:p w:rsidR="005C73F6" w:rsidRPr="00B91878" w:rsidRDefault="005C73F6" w:rsidP="005C73F6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с.н.с, к.б.н.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Зайцев А.В.</w:t>
      </w:r>
    </w:p>
    <w:p w:rsidR="005C73F6" w:rsidRPr="00B91878" w:rsidRDefault="005C73F6" w:rsidP="005C73F6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5C73F6" w:rsidRPr="00B91878" w:rsidRDefault="005C73F6" w:rsidP="005C73F6">
      <w:pPr>
        <w:jc w:val="center"/>
        <w:rPr>
          <w:sz w:val="18"/>
          <w:szCs w:val="20"/>
          <w:lang w:val="ru-RU"/>
        </w:rPr>
      </w:pPr>
    </w:p>
    <w:p w:rsidR="005D3C4E" w:rsidRPr="00B91878" w:rsidRDefault="005D3C4E" w:rsidP="005D3C4E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аспирант</w:t>
      </w:r>
      <w:r w:rsidRPr="00B91878">
        <w:rPr>
          <w:sz w:val="24"/>
          <w:szCs w:val="24"/>
          <w:lang w:val="ru-RU"/>
        </w:rPr>
        <w:tab/>
        <w:t xml:space="preserve">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Годзи М.Г.</w:t>
      </w:r>
    </w:p>
    <w:p w:rsidR="00E54545" w:rsidRDefault="005D3C4E" w:rsidP="005C73F6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0"/>
          <w:szCs w:val="20"/>
          <w:lang w:val="ru-RU"/>
        </w:rPr>
        <w:t>подпись, дата</w:t>
      </w:r>
    </w:p>
    <w:p w:rsidR="00E54545" w:rsidRDefault="00E54545" w:rsidP="00E54545">
      <w:pPr>
        <w:rPr>
          <w:sz w:val="24"/>
          <w:szCs w:val="24"/>
          <w:lang w:val="ru-RU"/>
        </w:rPr>
      </w:pPr>
    </w:p>
    <w:p w:rsidR="00E54545" w:rsidRPr="00B91878" w:rsidRDefault="00E54545" w:rsidP="00E54545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с.н.с., к.ф.-м.н.</w:t>
      </w:r>
      <w:r>
        <w:rPr>
          <w:sz w:val="24"/>
          <w:szCs w:val="24"/>
          <w:lang w:val="ru-RU"/>
        </w:rPr>
        <w:t>, координатор</w:t>
      </w:r>
      <w:r w:rsidRPr="00B91878">
        <w:rPr>
          <w:sz w:val="24"/>
          <w:szCs w:val="24"/>
          <w:lang w:val="ru-RU"/>
        </w:rPr>
        <w:t xml:space="preserve">              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>______________________ Гудимчук Н.Б.</w:t>
      </w:r>
    </w:p>
    <w:p w:rsidR="00E54545" w:rsidRPr="00B91878" w:rsidRDefault="00E54545" w:rsidP="00E54545">
      <w:pPr>
        <w:jc w:val="center"/>
        <w:rPr>
          <w:sz w:val="20"/>
          <w:szCs w:val="20"/>
          <w:lang w:val="ru-RU"/>
        </w:rPr>
      </w:pPr>
      <w:r w:rsidRPr="00B91878">
        <w:rPr>
          <w:sz w:val="24"/>
          <w:szCs w:val="24"/>
          <w:lang w:val="ru-RU"/>
        </w:rPr>
        <w:tab/>
      </w:r>
      <w:r w:rsidRPr="00B91878">
        <w:rPr>
          <w:sz w:val="24"/>
          <w:szCs w:val="24"/>
          <w:lang w:val="ru-RU"/>
        </w:rPr>
        <w:tab/>
        <w:t xml:space="preserve"> </w:t>
      </w:r>
      <w:r w:rsidRPr="00B91878">
        <w:rPr>
          <w:sz w:val="24"/>
          <w:szCs w:val="24"/>
          <w:lang w:val="ru-RU"/>
        </w:rPr>
        <w:tab/>
      </w:r>
      <w:r w:rsidRPr="00B91878">
        <w:rPr>
          <w:sz w:val="20"/>
          <w:szCs w:val="20"/>
          <w:lang w:val="ru-RU"/>
        </w:rPr>
        <w:t>подпись, дата</w:t>
      </w:r>
    </w:p>
    <w:p w:rsidR="00E54545" w:rsidRPr="00B91878" w:rsidRDefault="00E54545" w:rsidP="00E54545">
      <w:pPr>
        <w:jc w:val="center"/>
        <w:rPr>
          <w:sz w:val="20"/>
          <w:szCs w:val="20"/>
          <w:lang w:val="ru-RU"/>
        </w:rPr>
      </w:pPr>
    </w:p>
    <w:p w:rsidR="00305B67" w:rsidRPr="00B91878" w:rsidRDefault="00305B67" w:rsidP="005C73F6">
      <w:pPr>
        <w:jc w:val="center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br w:type="page"/>
      </w:r>
    </w:p>
    <w:p w:rsidR="00ED3DC2" w:rsidRPr="00B91878" w:rsidRDefault="00ED3DC2" w:rsidP="00ED3DC2">
      <w:pPr>
        <w:spacing w:line="360" w:lineRule="auto"/>
        <w:ind w:firstLine="540"/>
        <w:rPr>
          <w:sz w:val="24"/>
          <w:szCs w:val="24"/>
          <w:lang w:val="ru-RU"/>
        </w:rPr>
      </w:pPr>
      <w:r w:rsidRPr="00B91878">
        <w:rPr>
          <w:b/>
          <w:sz w:val="24"/>
          <w:szCs w:val="24"/>
          <w:lang w:val="ru-RU"/>
        </w:rPr>
        <w:lastRenderedPageBreak/>
        <w:t>Реферат</w:t>
      </w:r>
      <w:r w:rsidRPr="00B91878">
        <w:rPr>
          <w:sz w:val="24"/>
          <w:szCs w:val="24"/>
          <w:lang w:val="ru-RU"/>
        </w:rPr>
        <w:t xml:space="preserve"> </w:t>
      </w:r>
    </w:p>
    <w:p w:rsidR="00ED3DC2" w:rsidRPr="00B91878" w:rsidRDefault="00680908" w:rsidP="00ED3DC2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  </w:t>
      </w:r>
      <w:r w:rsidR="00ED3DC2" w:rsidRPr="00B91878">
        <w:rPr>
          <w:sz w:val="24"/>
          <w:szCs w:val="24"/>
          <w:lang w:val="ru-RU"/>
        </w:rPr>
        <w:t xml:space="preserve">Отчет </w:t>
      </w:r>
      <w:r w:rsidR="00117870" w:rsidRPr="00B91878">
        <w:rPr>
          <w:sz w:val="24"/>
          <w:szCs w:val="24"/>
          <w:lang w:val="ru-RU"/>
        </w:rPr>
        <w:t>2</w:t>
      </w:r>
      <w:r w:rsidR="00C752A4" w:rsidRPr="00C752A4">
        <w:rPr>
          <w:sz w:val="24"/>
          <w:szCs w:val="24"/>
          <w:lang w:val="ru-RU"/>
        </w:rPr>
        <w:t>3</w:t>
      </w:r>
      <w:r w:rsidR="00ED3DC2" w:rsidRPr="00B91878">
        <w:rPr>
          <w:sz w:val="24"/>
          <w:szCs w:val="24"/>
          <w:lang w:val="ru-RU"/>
        </w:rPr>
        <w:t xml:space="preserve"> стр., </w:t>
      </w:r>
      <w:r w:rsidR="00034FB1" w:rsidRPr="00B91878">
        <w:rPr>
          <w:sz w:val="24"/>
          <w:szCs w:val="24"/>
          <w:lang w:val="ru-RU"/>
        </w:rPr>
        <w:t>1</w:t>
      </w:r>
      <w:r w:rsidR="00ED3DC2" w:rsidRPr="00B91878">
        <w:rPr>
          <w:sz w:val="24"/>
          <w:szCs w:val="24"/>
          <w:lang w:val="ru-RU"/>
        </w:rPr>
        <w:t xml:space="preserve"> ч., </w:t>
      </w:r>
      <w:r w:rsidR="004B37A7" w:rsidRPr="00B91878">
        <w:rPr>
          <w:sz w:val="24"/>
          <w:szCs w:val="24"/>
          <w:lang w:val="ru-RU"/>
        </w:rPr>
        <w:t>5</w:t>
      </w:r>
      <w:r w:rsidR="00ED3DC2" w:rsidRPr="00B91878">
        <w:rPr>
          <w:sz w:val="24"/>
          <w:szCs w:val="24"/>
          <w:lang w:val="ru-RU"/>
        </w:rPr>
        <w:t xml:space="preserve"> рис., </w:t>
      </w:r>
      <w:r w:rsidR="00F04A0E" w:rsidRPr="00B91878">
        <w:rPr>
          <w:sz w:val="24"/>
          <w:szCs w:val="24"/>
          <w:lang w:val="ru-RU"/>
        </w:rPr>
        <w:t>2</w:t>
      </w:r>
      <w:r w:rsidR="00C752A4" w:rsidRPr="00E54545">
        <w:rPr>
          <w:sz w:val="24"/>
          <w:szCs w:val="24"/>
          <w:lang w:val="ru-RU"/>
        </w:rPr>
        <w:t>5</w:t>
      </w:r>
      <w:r w:rsidR="00DB4377" w:rsidRPr="00B91878">
        <w:rPr>
          <w:sz w:val="24"/>
          <w:szCs w:val="24"/>
          <w:lang w:val="ru-RU"/>
        </w:rPr>
        <w:t xml:space="preserve"> источник</w:t>
      </w:r>
      <w:r w:rsidR="00713C22" w:rsidRPr="00B91878">
        <w:rPr>
          <w:sz w:val="24"/>
          <w:szCs w:val="24"/>
          <w:lang w:val="ru-RU"/>
        </w:rPr>
        <w:t>ов</w:t>
      </w:r>
      <w:r w:rsidR="00ED3DC2" w:rsidRPr="00B91878">
        <w:rPr>
          <w:sz w:val="24"/>
          <w:szCs w:val="24"/>
          <w:lang w:val="ru-RU"/>
        </w:rPr>
        <w:t>.</w:t>
      </w:r>
    </w:p>
    <w:p w:rsidR="00ED3DC2" w:rsidRPr="00B91878" w:rsidRDefault="00ED3DC2" w:rsidP="00ED3DC2">
      <w:pPr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Ключевые слова: </w:t>
      </w:r>
      <w:r w:rsidR="00996463" w:rsidRPr="00B91878">
        <w:rPr>
          <w:sz w:val="24"/>
          <w:szCs w:val="24"/>
          <w:lang w:val="ru-RU"/>
        </w:rPr>
        <w:t xml:space="preserve">микротрубочка, кинетохор, математическое моделирование, митоз, динамическая нестабильность, </w:t>
      </w:r>
      <w:r w:rsidR="00D131E6" w:rsidRPr="00B91878">
        <w:rPr>
          <w:sz w:val="24"/>
          <w:szCs w:val="24"/>
          <w:lang w:val="ru-RU"/>
        </w:rPr>
        <w:t>свертывание крови, диффузия, тромбин, фибрин</w:t>
      </w:r>
      <w:r w:rsidRPr="00B91878">
        <w:rPr>
          <w:sz w:val="24"/>
          <w:szCs w:val="24"/>
          <w:lang w:val="ru-RU"/>
        </w:rPr>
        <w:t>.</w:t>
      </w:r>
    </w:p>
    <w:p w:rsidR="00996463" w:rsidRPr="00B91878" w:rsidRDefault="00996463" w:rsidP="00D131E6">
      <w:pPr>
        <w:ind w:firstLine="539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Цель исследования </w:t>
      </w:r>
      <w:r w:rsidR="00AC2E5B" w:rsidRPr="00B91878">
        <w:rPr>
          <w:sz w:val="24"/>
          <w:szCs w:val="24"/>
          <w:lang w:val="ru-RU"/>
        </w:rPr>
        <w:t>–</w:t>
      </w:r>
      <w:r w:rsidRPr="00B91878">
        <w:rPr>
          <w:sz w:val="24"/>
          <w:szCs w:val="24"/>
          <w:lang w:val="ru-RU"/>
        </w:rPr>
        <w:t xml:space="preserve"> </w:t>
      </w:r>
      <w:r w:rsidR="00D131E6" w:rsidRPr="00B91878">
        <w:rPr>
          <w:sz w:val="24"/>
          <w:szCs w:val="24"/>
          <w:lang w:val="ru-RU"/>
        </w:rPr>
        <w:t>изучение фундаментальных основ восстановительных и регенеративных процессов – принципов и механизмов формирования динамических структур на примере формирования веретена деления клетки и роста тромба в сосуде</w:t>
      </w:r>
      <w:r w:rsidRPr="00B91878">
        <w:rPr>
          <w:sz w:val="24"/>
          <w:szCs w:val="24"/>
          <w:lang w:val="ru-RU"/>
        </w:rPr>
        <w:t>.</w:t>
      </w:r>
    </w:p>
    <w:p w:rsidR="00D131E6" w:rsidRPr="00B91878" w:rsidRDefault="00D131E6" w:rsidP="00D131E6">
      <w:pPr>
        <w:ind w:firstLine="539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Аврора В регулирует процесс деления клетки и является одной из необходимых клеточных киназ. Аврора В способна фосфорилировать субстраты, которые находятся на значительном расстоянии от её основных сайтов связывания. С помощью пространственной регуляции своей активности Аврора В создает градиент фосфорилирования и тем самым контролирует стабильность и длину центрального веретена деления, деконденсацию хромосом и повторную сборку ядерной оболочки. Мы исследовали механизмы, которые контролируют активность Авроры В и предоставили существенные доказательства в пользу модели, в которой пространственно-временная регуляция Авроры Б управляется бистабильным реакционно-диффузионным механизмом.</w:t>
      </w:r>
    </w:p>
    <w:p w:rsidR="00D131E6" w:rsidRPr="00B91878" w:rsidRDefault="00D131E6" w:rsidP="00D131E6">
      <w:pPr>
        <w:ind w:firstLine="539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>Формирование тромба в процессе работы системы свертывания in vivo представляет собой пространственно-неоднородный процесс, состоящих из различных фаз, разнесенных не только во времени, но и в пространстве: активация свертывания происходит в первые минуты после появления повреждения стенки сосуда непосредственно в месте повреждения, рост тромба осуществляется при участии активированных тромбоцитов за счет диффузии активных компонентов и их последующей активации в петлях положительных обратных связей. Применение in vitro и in silico моделей, основанных на данной концепции свертывания, позволило выявить принципиально важные различия в механизмах работы антикоагулянтных препаратов. Кофактор антитромбина III надропарин кальция существенно ингибирует фазу роста сгустка и генерацию основного регуляторного белка системы – тромбина, не влияя при этом на фазу активации. Ингибитор фактора Ха ривароксабан существенно пролонгирует фазу роста сгустка, скорость роста сгустка при этом снижается только до определенного предела, а сигнал от тромбина существенно снижается. Ингибитор тромбина дабигатран аналогично влияет на фазу активации и роста сгустка, однако в меньшей степени на форму распространяющегося сигнала от тромбина.</w:t>
      </w:r>
    </w:p>
    <w:p w:rsidR="001714A1" w:rsidRPr="00B91878" w:rsidRDefault="001714A1" w:rsidP="001714A1">
      <w:pPr>
        <w:pStyle w:val="10"/>
        <w:pageBreakBefore/>
        <w:jc w:val="center"/>
        <w:rPr>
          <w:rFonts w:ascii="Times New Roman" w:hAnsi="Times New Roman"/>
          <w:color w:val="auto"/>
          <w:lang w:val="ru-RU"/>
        </w:rPr>
      </w:pPr>
      <w:r w:rsidRPr="00B91878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p w:rsidR="006F4F2B" w:rsidRPr="00B91878" w:rsidRDefault="001714A1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B91878">
        <w:rPr>
          <w:sz w:val="28"/>
        </w:rPr>
        <w:fldChar w:fldCharType="begin"/>
      </w:r>
      <w:r w:rsidRPr="00B91878">
        <w:rPr>
          <w:sz w:val="28"/>
          <w:lang w:val="ru-RU"/>
        </w:rPr>
        <w:instrText xml:space="preserve"> </w:instrText>
      </w:r>
      <w:r w:rsidRPr="00B91878">
        <w:rPr>
          <w:sz w:val="28"/>
        </w:rPr>
        <w:instrText>TOC</w:instrText>
      </w:r>
      <w:r w:rsidRPr="00B91878">
        <w:rPr>
          <w:sz w:val="28"/>
          <w:lang w:val="ru-RU"/>
        </w:rPr>
        <w:instrText xml:space="preserve"> \</w:instrText>
      </w:r>
      <w:r w:rsidRPr="00B91878">
        <w:rPr>
          <w:sz w:val="28"/>
        </w:rPr>
        <w:instrText>o</w:instrText>
      </w:r>
      <w:r w:rsidRPr="00B91878">
        <w:rPr>
          <w:sz w:val="28"/>
          <w:lang w:val="ru-RU"/>
        </w:rPr>
        <w:instrText xml:space="preserve"> "1-3" \</w:instrText>
      </w:r>
      <w:r w:rsidRPr="00B91878">
        <w:rPr>
          <w:sz w:val="28"/>
        </w:rPr>
        <w:instrText>h</w:instrText>
      </w:r>
      <w:r w:rsidRPr="00B91878">
        <w:rPr>
          <w:sz w:val="28"/>
          <w:lang w:val="ru-RU"/>
        </w:rPr>
        <w:instrText xml:space="preserve"> \</w:instrText>
      </w:r>
      <w:r w:rsidRPr="00B91878">
        <w:rPr>
          <w:sz w:val="28"/>
        </w:rPr>
        <w:instrText>z</w:instrText>
      </w:r>
      <w:r w:rsidRPr="00B91878">
        <w:rPr>
          <w:sz w:val="28"/>
          <w:lang w:val="ru-RU"/>
        </w:rPr>
        <w:instrText xml:space="preserve"> \</w:instrText>
      </w:r>
      <w:r w:rsidRPr="00B91878">
        <w:rPr>
          <w:sz w:val="28"/>
        </w:rPr>
        <w:instrText>u</w:instrText>
      </w:r>
      <w:r w:rsidRPr="00B91878">
        <w:rPr>
          <w:sz w:val="28"/>
          <w:lang w:val="ru-RU"/>
        </w:rPr>
        <w:instrText xml:space="preserve"> </w:instrText>
      </w:r>
      <w:r w:rsidRPr="00B91878">
        <w:rPr>
          <w:sz w:val="28"/>
        </w:rPr>
        <w:fldChar w:fldCharType="separate"/>
      </w:r>
      <w:hyperlink w:anchor="_Toc473544243" w:history="1">
        <w:r w:rsidR="006F4F2B" w:rsidRPr="00B91878">
          <w:rPr>
            <w:rStyle w:val="Hyperlink"/>
            <w:noProof/>
            <w:lang w:val="ru-RU"/>
          </w:rPr>
          <w:t>Обозначения и сокращения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_Toc473544243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5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4" w:history="1">
        <w:r w:rsidR="006F4F2B" w:rsidRPr="00B91878">
          <w:rPr>
            <w:rStyle w:val="Hyperlink"/>
            <w:noProof/>
            <w:lang w:val="ru-RU"/>
          </w:rPr>
          <w:t>Введение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_Toc473544244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6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5" w:history="1">
        <w:r w:rsidR="006F4F2B" w:rsidRPr="00B91878">
          <w:rPr>
            <w:rStyle w:val="Hyperlink"/>
            <w:noProof/>
            <w:lang w:val="ru-RU"/>
          </w:rPr>
          <w:t>Основная часть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_Toc473544245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7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6" w:history="1">
        <w:r w:rsidR="006F4F2B" w:rsidRPr="00B91878">
          <w:rPr>
            <w:rStyle w:val="Hyperlink"/>
            <w:noProof/>
            <w:lang w:val="ru-RU"/>
          </w:rPr>
          <w:t>1.</w:t>
        </w:r>
        <w:r w:rsidR="006F4F2B" w:rsidRPr="00B91878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6F4F2B" w:rsidRPr="00B91878">
          <w:rPr>
            <w:rStyle w:val="Hyperlink"/>
            <w:noProof/>
            <w:lang w:val="ru-RU"/>
          </w:rPr>
          <w:t>Формирования градиента киназы Аврора В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_Toc473544246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7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7" w:history="1">
        <w:r w:rsidR="006F4F2B" w:rsidRPr="00B91878">
          <w:rPr>
            <w:rStyle w:val="Hyperlink"/>
            <w:noProof/>
            <w:lang w:val="ru-RU"/>
          </w:rPr>
          <w:t>2.</w:t>
        </w:r>
        <w:r w:rsidR="006F4F2B" w:rsidRPr="00B91878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6F4F2B" w:rsidRPr="00B91878">
          <w:rPr>
            <w:rStyle w:val="Hyperlink"/>
            <w:noProof/>
            <w:lang w:val="ru-RU"/>
          </w:rPr>
          <w:t>Трансляционные исследования пространственной динамики нарушений гемостаза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_Toc473544247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11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8" w:history="1">
        <w:r w:rsidR="006F4F2B" w:rsidRPr="00B91878">
          <w:rPr>
            <w:rStyle w:val="Hyperlink"/>
            <w:noProof/>
            <w:lang w:val="ru-RU"/>
          </w:rPr>
          <w:t>3.</w:t>
        </w:r>
        <w:r w:rsidR="006F4F2B" w:rsidRPr="00B91878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6F4F2B" w:rsidRPr="00B91878">
          <w:rPr>
            <w:rStyle w:val="Hyperlink"/>
            <w:noProof/>
            <w:lang w:val="ru-RU"/>
          </w:rPr>
          <w:t>Теоретические представления о пространственно-временной регуляции системы свертывания крови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_Toc473544248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14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49" w:history="1">
        <w:r w:rsidR="006F4F2B" w:rsidRPr="00B91878">
          <w:rPr>
            <w:rStyle w:val="Hyperlink"/>
            <w:noProof/>
            <w:lang w:val="ru-RU"/>
          </w:rPr>
          <w:t>Выводы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_Toc473544249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14</w:t>
        </w:r>
        <w:r w:rsidR="006F4F2B" w:rsidRPr="00B91878">
          <w:rPr>
            <w:noProof/>
            <w:webHidden/>
          </w:rPr>
          <w:fldChar w:fldCharType="end"/>
        </w:r>
      </w:hyperlink>
    </w:p>
    <w:p w:rsidR="006F4F2B" w:rsidRPr="00B91878" w:rsidRDefault="0080063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44250" w:history="1">
        <w:r w:rsidR="006F4F2B" w:rsidRPr="00B91878">
          <w:rPr>
            <w:rStyle w:val="Hyperlink"/>
            <w:noProof/>
            <w:lang w:val="ru-RU"/>
          </w:rPr>
          <w:t>Список использованных источников</w:t>
        </w:r>
        <w:r w:rsidR="006F4F2B" w:rsidRPr="00B91878">
          <w:rPr>
            <w:noProof/>
            <w:webHidden/>
          </w:rPr>
          <w:tab/>
        </w:r>
        <w:r w:rsidR="006F4F2B" w:rsidRPr="00B91878">
          <w:rPr>
            <w:noProof/>
            <w:webHidden/>
          </w:rPr>
          <w:fldChar w:fldCharType="begin"/>
        </w:r>
        <w:r w:rsidR="006F4F2B" w:rsidRPr="00B91878">
          <w:rPr>
            <w:noProof/>
            <w:webHidden/>
          </w:rPr>
          <w:instrText xml:space="preserve"> PAGEREF _Toc473544250 \h </w:instrText>
        </w:r>
        <w:r w:rsidR="006F4F2B" w:rsidRPr="00B91878">
          <w:rPr>
            <w:noProof/>
            <w:webHidden/>
          </w:rPr>
        </w:r>
        <w:r w:rsidR="006F4F2B" w:rsidRPr="00B91878">
          <w:rPr>
            <w:noProof/>
            <w:webHidden/>
          </w:rPr>
          <w:fldChar w:fldCharType="separate"/>
        </w:r>
        <w:r w:rsidR="006F4F2B" w:rsidRPr="00B91878">
          <w:rPr>
            <w:noProof/>
            <w:webHidden/>
          </w:rPr>
          <w:t>15</w:t>
        </w:r>
        <w:r w:rsidR="006F4F2B" w:rsidRPr="00B91878">
          <w:rPr>
            <w:noProof/>
            <w:webHidden/>
          </w:rPr>
          <w:fldChar w:fldCharType="end"/>
        </w:r>
      </w:hyperlink>
    </w:p>
    <w:p w:rsidR="001714A1" w:rsidRPr="00B91878" w:rsidRDefault="001714A1" w:rsidP="001714A1">
      <w:pPr>
        <w:ind w:firstLine="539"/>
        <w:rPr>
          <w:sz w:val="24"/>
          <w:szCs w:val="24"/>
        </w:rPr>
      </w:pPr>
      <w:r w:rsidRPr="00B91878">
        <w:rPr>
          <w:b/>
          <w:bCs/>
          <w:sz w:val="28"/>
        </w:rPr>
        <w:fldChar w:fldCharType="end"/>
      </w:r>
    </w:p>
    <w:p w:rsidR="00ED3DC2" w:rsidRPr="00B91878" w:rsidRDefault="00ED3DC2" w:rsidP="00673B60">
      <w:pPr>
        <w:rPr>
          <w:sz w:val="24"/>
          <w:szCs w:val="24"/>
        </w:rPr>
      </w:pPr>
      <w:r w:rsidRPr="00B91878">
        <w:rPr>
          <w:sz w:val="24"/>
          <w:szCs w:val="24"/>
        </w:rPr>
        <w:br w:type="page"/>
      </w:r>
    </w:p>
    <w:p w:rsidR="008419EA" w:rsidRPr="00B91878" w:rsidRDefault="008419EA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1" w:name="_Toc437480266"/>
      <w:bookmarkStart w:id="2" w:name="_Toc473544243"/>
      <w:r w:rsidRPr="00B91878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1"/>
      <w:bookmarkEnd w:id="2"/>
    </w:p>
    <w:p w:rsidR="00F04A0E" w:rsidRPr="00B91878" w:rsidRDefault="00F04A0E" w:rsidP="008419EA">
      <w:pPr>
        <w:spacing w:line="360" w:lineRule="auto"/>
        <w:rPr>
          <w:b/>
          <w:sz w:val="24"/>
          <w:lang w:val="ru-RU"/>
        </w:rPr>
      </w:pPr>
      <w:r w:rsidRPr="00B91878">
        <w:rPr>
          <w:b/>
          <w:sz w:val="24"/>
          <w:lang w:val="ru-RU"/>
        </w:rPr>
        <w:t xml:space="preserve">ХПК – </w:t>
      </w:r>
      <w:r w:rsidRPr="00B91878">
        <w:rPr>
          <w:sz w:val="24"/>
          <w:lang w:val="ru-RU"/>
        </w:rPr>
        <w:t>хромосомальный пассажирский комплекс</w:t>
      </w:r>
    </w:p>
    <w:p w:rsidR="00ED3DC2" w:rsidRPr="00B91878" w:rsidRDefault="00ED3DC2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3" w:name="_Toc473544244"/>
      <w:r w:rsidRPr="00B91878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3"/>
    </w:p>
    <w:p w:rsidR="00F04A0E" w:rsidRPr="00B91878" w:rsidRDefault="00694C37" w:rsidP="00AC2E5B">
      <w:pPr>
        <w:spacing w:line="360" w:lineRule="auto"/>
        <w:ind w:firstLine="708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Актуальность понимания того, как в биологии формируются пространственные структуры очень высока, поскольку это открывает двери к решению огромного разнообразия биологических и медицинских задач, связанных с делением клетки, регенерацией, злокачественным перерождением клеток, формированием органов и тканей. Примеры формирования структур в биологии многочисленны и разнообразны, однако, начиная с работ Винера и Тьюринга [Wiener. N., 1948; Turing, A. M. 1952], есть основания считать, что за этим разнообразием стоит небольшое количество общих механизмов и закономерностей. Среди тех немногих, которые мы сегодня понимаем, важную роль играют принципы формирования динамических структур в сильно нелинейных и неравновесных средах, а именно механизмы возникновения диссипативных структур (структур Тьюринга) и закономерности структурирования пространства автоволнами со сложной динамикой, открытые нами относительно недавно. Понимание механизмов реализации этих принципов, а возможно и открытие новых, происходит, как правило, в процессе теоретического и экспериментального изучения конкретных явлений. </w:t>
      </w:r>
    </w:p>
    <w:p w:rsidR="00694C37" w:rsidRPr="00B91878" w:rsidRDefault="00694C37" w:rsidP="00AC2E5B">
      <w:pPr>
        <w:spacing w:line="360" w:lineRule="auto"/>
        <w:ind w:firstLine="708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t xml:space="preserve">Целью </w:t>
      </w:r>
      <w:r w:rsidR="00F04A0E" w:rsidRPr="00B91878">
        <w:rPr>
          <w:sz w:val="24"/>
          <w:szCs w:val="24"/>
          <w:lang w:val="ru-RU"/>
        </w:rPr>
        <w:t>исследования</w:t>
      </w:r>
      <w:r w:rsidRPr="00B91878">
        <w:rPr>
          <w:sz w:val="24"/>
          <w:szCs w:val="24"/>
          <w:lang w:val="ru-RU"/>
        </w:rPr>
        <w:t xml:space="preserve"> является исследование двух биологических феноменов, в основе которых, как мы полагаем, лежат единые принципы формирования динамических структур. Это формирование градиента активности протеин-киназы Аврора В при митотическом делении клетки и формирование тромба при свертывании крови. Эти исследования представляют интерес не только для фундаментальной науки. Понимание механизмов анеуплоидии и ошибок деления может оказаться </w:t>
      </w:r>
      <w:r w:rsidR="00F04A0E" w:rsidRPr="00B91878">
        <w:rPr>
          <w:sz w:val="24"/>
          <w:szCs w:val="24"/>
          <w:lang w:val="ru-RU"/>
        </w:rPr>
        <w:t>принципиально</w:t>
      </w:r>
      <w:r w:rsidRPr="00B91878">
        <w:rPr>
          <w:sz w:val="24"/>
          <w:szCs w:val="24"/>
          <w:lang w:val="ru-RU"/>
        </w:rPr>
        <w:t xml:space="preserve"> новым направлением коррекции регенеративных процессов в онкологии [Cimini, 2008; Weaver and Cleveland, 2006; Nicholson and Cimini, 2013]. Хорошо известно, что современная терапия онкозаболеваний направлена на уничтожение делящихся клеток, как нормальных, так и опухолевых. Поэтому процессы регенерации органов и тканей являются важнейшей частью терапии. После терапии цитотоксическими и цитостатическими препаратами, а часто и во время нее, неизбежно возникает большая масса делящихся клеток, как нормальных, так и с дефектами деления. Как следствие – резко возрастает риск появления новых трансформированных клонов – источников метастазирования. Этот риск можно резко снизить, если в процессе онкотерапии защитить и усилить механизмы исправления ошибок в процессе деления клеток. Недавно было показано, что в митозе в центромерной области, где хромосомы соединяются с микротрубочками веретена деления, существует градиент активности Авроры В [Lampson et </w:t>
      </w:r>
      <w:r w:rsidRPr="00B91878">
        <w:rPr>
          <w:sz w:val="24"/>
          <w:szCs w:val="24"/>
          <w:lang w:val="ru-RU"/>
        </w:rPr>
        <w:lastRenderedPageBreak/>
        <w:t>al., Nat. Cell Biol. 2004], который играет ключевую роль в исправлении ошибок неправильного закрепления хромосом. Механизмы формирования этого градиента неизвестны, но наши предварительные экспериментальные данные указывают на то, что этот динамический градиент и закономерности его формирования похожи на те, что мы обнаружили в процессах свертывания крови. Идеологически с предыдущей темой тесно связана вторая часть нашего проекта. Мы давно и успешно изучаем механизмы формирования тромбов [Lobanova and Ataullakhanov, 2003, 2004; Атауллаханов et al., 2007], но недавнее экспериментальное открытие автоволны с уникальными свойствами в системе свертывания [Ataullakhanov et al., 2013, Dashkevich et al., 2012] привело не только к открытию принципиально нового механизма формирования пространственных структур, но и вызвало существенный пересмотр представлений о пространственной регуляции этой системы. Это открытие стало основой нового метода диагностики нарушений свертывания крови и связанных с этим нарушений процессов репарации тканей. Сегодня этот метод прошел все испытания и начал успешно использоваться в клиниках России и за рубежом. Появление этого метода и ряда новых подходов к анализу процессов репарации поврежденных сосудов ставит перед нами задачу трансляционной медицины – перенос фундаментальных представлений о механизмах репарации сосудов в практическую медицину. Предварительные исследования показали, что имеется большое своеобразие в механизмах репарации при разных патологиях, которое нужно выявить и использовать для повышения эффективности диагностики и лечения конкретных патологий. Третья, объединяющая, часть нашего проекта направлена на разработку математических моделей, позволяющих выявлять базовые принципы формирования структур в биологии. Мы планируем исследовать ряд упрощенных моделей, свертывания крови и формирования градиента Авроры В с целью выявить общие закономерности процессов развития и регенерации в биомедицине в целом. Во всех перечисленных задачах у нас есть хорошие заделы, которые позволяют надеяться на успешное исследование этих, на первый взгляд, сильно разных задач с единых позиций современной нелинейной молекулярной динамики и ее практических приложений в медицине.</w:t>
      </w:r>
    </w:p>
    <w:p w:rsidR="0074390C" w:rsidRPr="00B91878" w:rsidRDefault="0074390C" w:rsidP="00AC2E5B">
      <w:pPr>
        <w:spacing w:line="360" w:lineRule="auto"/>
        <w:ind w:firstLine="708"/>
        <w:rPr>
          <w:sz w:val="24"/>
          <w:szCs w:val="24"/>
          <w:lang w:val="ru-RU"/>
        </w:rPr>
      </w:pPr>
    </w:p>
    <w:p w:rsidR="00ED3DC2" w:rsidRPr="00B91878" w:rsidRDefault="00ED3DC2" w:rsidP="0099772B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4" w:name="_Toc473544245"/>
      <w:r w:rsidRPr="00B91878">
        <w:rPr>
          <w:rFonts w:ascii="Times New Roman" w:hAnsi="Times New Roman"/>
          <w:color w:val="auto"/>
          <w:sz w:val="28"/>
          <w:lang w:val="ru-RU"/>
        </w:rPr>
        <w:lastRenderedPageBreak/>
        <w:t>Основная часть</w:t>
      </w:r>
      <w:bookmarkEnd w:id="4"/>
    </w:p>
    <w:p w:rsidR="00ED3DC2" w:rsidRPr="00B91878" w:rsidRDefault="006D3911" w:rsidP="006D3911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5" w:name="_Toc473544246"/>
      <w:r w:rsidRPr="00B91878">
        <w:rPr>
          <w:rFonts w:ascii="Times New Roman" w:hAnsi="Times New Roman"/>
          <w:color w:val="auto"/>
          <w:sz w:val="24"/>
          <w:szCs w:val="28"/>
          <w:lang w:val="ru-RU"/>
        </w:rPr>
        <w:t>Формирования градиента киназы Аврора В</w:t>
      </w:r>
      <w:bookmarkEnd w:id="5"/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Аврора В, компонент хромосомального пассажирского комплекса (ХПК), является одной из необходимых клеточных киназ. Аврора В регулирует деление клетки: первоначально она локализуется на внутреннем центромере и, в дальнейшем, в центральной зоне веретена в анафазе (Carmena et al., 2012).  Аврора В способна фосфорилировать субстраты, которые находятся на значительном расстоянии от её основных сайтов связывания. В анафазе далеко распространяющийся градиент фосфорилирования формируется вокруг центральной зоны веретена (Fuller et al., 2008; Tan and Kapoor, 2011), но простирается далеко за основные сайты локализации киназы (Рис.1А). В метафазе наблюдается, фосфорилирование снижено на субстратах, расположенных дальше от сайтов связывания Авроры В, что также указывает на существование градиента активности Авроры В (Keating et al., 2009; Liu et al., 2009; Welburn et al., 2010; DeLuca et al., 2011; Suzuki et al., 2014). Для объяснения механизмов такого сложного поведения этой киназы привлекались различные модели, однако ни одна их них не получила достаточно хорошего экспериментального подтверждения.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На данном этапе выполнения работы мы исследовали механизмы, которые контролируют активность Авроры В, используя клеточные и упрощённые in vitro системы и математическое моделирование. Мы создали новую молекулярную систему для контроля локализации Авроры В в клетках для того, чтобы напрямую проверить важность центромерного пула Авроры В в её активности на больших расстояниях. Далее мы использовали очищенные компоненты для воссоздания упрощённой спаренной системы Авроры В и фосфатазы in vitro и показали, что она проявляет бистабильность и гистерезис в физиологическом диапазоне концентраций Авроры В. Для изучения комплексной нелинейной динамики реакционно-диффузионных систем и их пространственного поведения мы создали численные модели для помощи в анализе гомогенных биохимических реакций и в анализе формирования систем фосфорилирования в клетках. Затем мы разработали экспериментальные методы анализа бистабильности и гистерезиса Аврора В-зависимого фосфорилирования в живых митотических клетках, связывая наши биохимические данные с регуляцией Авроры В в клетках. Пользуясь этими подходами, мы предоставляем существенные доказательства в пользу модели, в которой пространственно-временная регуляция Авроры В управляется бистабильным реакционно-диффузионным механизмом.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lastRenderedPageBreak/>
        <w:t>Поскольку эксперименты в почкующийся дрожжах подняли вопросы о том, является ли концентрирование Авроры В на центромерах необходимым для её митотической функции (</w:t>
      </w:r>
      <w:r w:rsidR="00B91878" w:rsidRPr="00B91878">
        <w:rPr>
          <w:sz w:val="24"/>
          <w:lang w:val="ru-RU"/>
        </w:rPr>
        <w:t>Campbell CS, Desai A. 2013</w:t>
      </w:r>
      <w:r w:rsidRPr="00B91878">
        <w:rPr>
          <w:sz w:val="24"/>
          <w:lang w:val="ru-RU"/>
        </w:rPr>
        <w:t>), мы разработали эксперимент по измерению степени фосфорилирования в живых клетках человека с контролируемым по времени управлением локализацией Авроры В. Мы создали линию клеток, которая при индукции подавляет эндогенный INCENP, при этом экспрессируя INBox конструкцию, которая может связывать и активировать Аврору В (Sessa и др., 2005), но не взаимодействует при этом с другими компонентами ХПК. Комплекс Аврора В -INbox является достаточным для ферментативной активности, но не локализуется в какой-либо конкретной внутриклеточной структуре, так как он не образует полный ХПК. Для контроля локализации мы использовали димеризацию на основе рапамицина (Putyrski и Schultz, 2012), с FRB связанным с INBox, и FKBP связанным с центромерным белком CENP-B. FKBP и FRB – это домены, которые димеризуются в присутствии рапамицина. Эта система позволяет измерять ответный эффект в живых клетках в течение уже нескольких минут после концентрирования Авроры В на центромерах. Для того чтобы следить за изменениями в активности киназы Аврора В на удалении от зон её локализации на центромерах, мы использовали биосенсор на основе FRET, связывающийся на хроматин путем соединения с гистоном H2B (Fuller и др., 2008). Когда эндогенный INCENP заменяется на INbox, который свободно диффундирует в цитозоле, фосфорилирование равномерно низкое, что свидетельствует о том, что пул цитозольных киназ сам по себе не способен поддерживать высокую активность киназы вдоль хромосомных плеч. Добавление рапамицина привело к приходу InBox на центромеры в течение нескольких минут, что сопровождалось фосфорилированием сенсора; важно, что сигнал был виден по всему хроматину (Рис. 1В). Для этих экспериментов клетки были остановлены во время митоза ингибитором кинезина-5, так что хромосомы были расположены радиально вокруг монополярного веретена с центромерами, ориентированными к центру (Mayer и др., 1999). При таком расположении хромосом, транзитивный градиента фосфорилирования отчетливо шёл от центромеров, аналогично предыдущим экспериментам, в которых активность Авроры В управлялась глобальным ингибированием (Wang и др., 2011). Таким образом, концентрирование Авроры В на центромерах в клетках млекопитающих необходимо и достаточно для того, чтобы регулировать активность киназы в дистальных частях клетки, что открывает возможность для дальнейшего исследования кинетических механизмов авто-активации Авроры В.</w:t>
      </w:r>
    </w:p>
    <w:p w:rsidR="006F4F2B" w:rsidRPr="00B91878" w:rsidRDefault="006F4F2B" w:rsidP="006F4F2B">
      <w:pPr>
        <w:spacing w:after="200"/>
        <w:jc w:val="center"/>
        <w:rPr>
          <w:rFonts w:ascii="Calibri" w:eastAsia="Calibri" w:hAnsi="Calibri" w:cs="Calibri"/>
        </w:rPr>
      </w:pPr>
      <w:r w:rsidRPr="00B91878">
        <w:object w:dxaOrig="8640" w:dyaOrig="4665">
          <v:rect id="rectole0000000000" o:spid="_x0000_i1025" style="width:464.85pt;height:256.1pt" o:ole="" o:preferrelative="t" stroked="f">
            <v:imagedata r:id="rId7" o:title=""/>
          </v:rect>
          <o:OLEObject Type="Embed" ProgID="StaticMetafile" ShapeID="rectole0000000000" DrawAspect="Content" ObjectID="_1547322963" r:id="rId8"/>
        </w:object>
      </w:r>
    </w:p>
    <w:p w:rsidR="006F4F2B" w:rsidRPr="00B91878" w:rsidRDefault="006F4F2B" w:rsidP="006F4F2B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 xml:space="preserve">Рисунок 1. Пространственная структура фосфорилирования в митотических клетках </w:t>
      </w:r>
      <w:r w:rsidRPr="00B91878">
        <w:rPr>
          <w:sz w:val="24"/>
        </w:rPr>
        <w:t>HeLa</w:t>
      </w:r>
      <w:r w:rsidRPr="00B91878">
        <w:rPr>
          <w:sz w:val="24"/>
          <w:lang w:val="ru-RU"/>
        </w:rPr>
        <w:t>. (</w:t>
      </w:r>
      <w:r w:rsidRPr="00B91878">
        <w:rPr>
          <w:b/>
          <w:sz w:val="24"/>
        </w:rPr>
        <w:t>A</w:t>
      </w:r>
      <w:r w:rsidRPr="00B91878">
        <w:rPr>
          <w:sz w:val="24"/>
          <w:lang w:val="ru-RU"/>
        </w:rPr>
        <w:t xml:space="preserve">) Клетка </w:t>
      </w:r>
      <w:r w:rsidRPr="00B91878">
        <w:rPr>
          <w:sz w:val="24"/>
        </w:rPr>
        <w:t>HeLa</w:t>
      </w:r>
      <w:r w:rsidRPr="00B91878">
        <w:rPr>
          <w:sz w:val="24"/>
          <w:lang w:val="ru-RU"/>
        </w:rPr>
        <w:t xml:space="preserve">, экспрессирующая хроматин-связывающийся сенсор Авроры Б и Аврору Б </w:t>
      </w:r>
      <w:r w:rsidRPr="00B91878">
        <w:rPr>
          <w:sz w:val="24"/>
        </w:rPr>
        <w:t>mCherry</w:t>
      </w:r>
      <w:r w:rsidRPr="00B91878">
        <w:rPr>
          <w:sz w:val="24"/>
          <w:lang w:val="ru-RU"/>
        </w:rPr>
        <w:t xml:space="preserve"> была снята в анафазе, через 10 мин после того, как был добавлен ингибитор </w:t>
      </w:r>
      <w:r w:rsidRPr="00B91878">
        <w:rPr>
          <w:sz w:val="24"/>
        </w:rPr>
        <w:t>Mps</w:t>
      </w:r>
      <w:r w:rsidRPr="00B91878">
        <w:rPr>
          <w:sz w:val="24"/>
          <w:lang w:val="ru-RU"/>
        </w:rPr>
        <w:t xml:space="preserve">1 реверсин, чтобы увеличить частоту появления отстающих хромосом. Изображение </w:t>
      </w:r>
      <w:r w:rsidRPr="00B91878">
        <w:rPr>
          <w:sz w:val="24"/>
        </w:rPr>
        <w:t>FRET</w:t>
      </w:r>
      <w:r w:rsidRPr="00B91878">
        <w:rPr>
          <w:sz w:val="24"/>
          <w:lang w:val="ru-RU"/>
        </w:rPr>
        <w:t xml:space="preserve">-отношения показывает соотношение сигналов </w:t>
      </w:r>
      <w:r w:rsidRPr="00B91878">
        <w:rPr>
          <w:sz w:val="24"/>
        </w:rPr>
        <w:t>YFP</w:t>
      </w:r>
      <w:r w:rsidRPr="00B91878">
        <w:rPr>
          <w:sz w:val="24"/>
          <w:lang w:val="ru-RU"/>
        </w:rPr>
        <w:t>/</w:t>
      </w:r>
      <w:r w:rsidRPr="00B91878">
        <w:rPr>
          <w:sz w:val="24"/>
        </w:rPr>
        <w:t>CFP</w:t>
      </w:r>
      <w:r w:rsidRPr="00B91878">
        <w:rPr>
          <w:sz w:val="24"/>
          <w:lang w:val="ru-RU"/>
        </w:rPr>
        <w:t xml:space="preserve"> (цветовая маркировка указана на рисунке). Размер масштабного отрезка 5 мкм. График показывает нормализованную степень фосфорилирования сенсора (левая ось), рассчитанную по данным </w:t>
      </w:r>
      <w:r w:rsidRPr="00B91878">
        <w:rPr>
          <w:sz w:val="24"/>
        </w:rPr>
        <w:t>FRET</w:t>
      </w:r>
      <w:r w:rsidRPr="00B91878">
        <w:rPr>
          <w:sz w:val="24"/>
          <w:lang w:val="ru-RU"/>
        </w:rPr>
        <w:t>-отношения, и сигнал локализации Авроры Б (правая ось) вдоль белых линий, которые были проведены вдоль оси веретена на изображениях слева. (</w:t>
      </w:r>
      <w:r w:rsidRPr="00B91878">
        <w:rPr>
          <w:b/>
          <w:sz w:val="24"/>
        </w:rPr>
        <w:t>B</w:t>
      </w:r>
      <w:r w:rsidRPr="00B91878">
        <w:rPr>
          <w:sz w:val="24"/>
          <w:lang w:val="ru-RU"/>
        </w:rPr>
        <w:t xml:space="preserve">) </w:t>
      </w:r>
      <w:r w:rsidRPr="00B91878">
        <w:rPr>
          <w:sz w:val="24"/>
        </w:rPr>
        <w:t>HeLa</w:t>
      </w:r>
      <w:r w:rsidRPr="00B91878">
        <w:rPr>
          <w:sz w:val="24"/>
          <w:lang w:val="ru-RU"/>
        </w:rPr>
        <w:t xml:space="preserve"> клетки, экспрессирующие </w:t>
      </w:r>
      <w:r w:rsidRPr="00B91878">
        <w:rPr>
          <w:sz w:val="24"/>
        </w:rPr>
        <w:t>CENP</w:t>
      </w:r>
      <w:r w:rsidRPr="00B91878">
        <w:rPr>
          <w:sz w:val="24"/>
          <w:lang w:val="ru-RU"/>
        </w:rPr>
        <w:t>-</w:t>
      </w:r>
      <w:r w:rsidRPr="00B91878">
        <w:rPr>
          <w:sz w:val="24"/>
        </w:rPr>
        <w:t>B</w:t>
      </w:r>
      <w:r w:rsidRPr="00B91878">
        <w:rPr>
          <w:sz w:val="24"/>
          <w:lang w:val="ru-RU"/>
        </w:rPr>
        <w:t>-</w:t>
      </w:r>
      <w:r w:rsidRPr="00B91878">
        <w:rPr>
          <w:sz w:val="24"/>
        </w:rPr>
        <w:t>FKBP</w:t>
      </w:r>
      <w:r w:rsidRPr="00B91878">
        <w:rPr>
          <w:sz w:val="24"/>
          <w:lang w:val="ru-RU"/>
        </w:rPr>
        <w:t xml:space="preserve">, </w:t>
      </w:r>
      <w:r w:rsidRPr="00B91878">
        <w:rPr>
          <w:sz w:val="24"/>
        </w:rPr>
        <w:t>mCherry</w:t>
      </w:r>
      <w:r w:rsidRPr="00B91878">
        <w:rPr>
          <w:sz w:val="24"/>
          <w:lang w:val="ru-RU"/>
        </w:rPr>
        <w:t>-</w:t>
      </w:r>
      <w:r w:rsidRPr="00B91878">
        <w:rPr>
          <w:sz w:val="24"/>
        </w:rPr>
        <w:t>Inbox</w:t>
      </w:r>
      <w:r w:rsidRPr="00B91878">
        <w:rPr>
          <w:sz w:val="24"/>
          <w:lang w:val="ru-RU"/>
        </w:rPr>
        <w:t>-</w:t>
      </w:r>
      <w:r w:rsidRPr="00B91878">
        <w:rPr>
          <w:sz w:val="24"/>
        </w:rPr>
        <w:t>FRB</w:t>
      </w:r>
      <w:r w:rsidRPr="00B91878">
        <w:rPr>
          <w:sz w:val="24"/>
          <w:lang w:val="ru-RU"/>
        </w:rPr>
        <w:t xml:space="preserve"> и </w:t>
      </w:r>
      <w:r w:rsidRPr="00B91878">
        <w:rPr>
          <w:sz w:val="24"/>
        </w:rPr>
        <w:t>miRNA</w:t>
      </w:r>
      <w:r w:rsidRPr="00B91878">
        <w:rPr>
          <w:sz w:val="24"/>
          <w:lang w:val="ru-RU"/>
        </w:rPr>
        <w:t xml:space="preserve"> (для уменьшения количества эндогенных </w:t>
      </w:r>
      <w:r w:rsidRPr="00B91878">
        <w:rPr>
          <w:sz w:val="24"/>
        </w:rPr>
        <w:t>FKBP</w:t>
      </w:r>
      <w:r w:rsidRPr="00B91878">
        <w:rPr>
          <w:sz w:val="24"/>
          <w:lang w:val="ru-RU"/>
        </w:rPr>
        <w:t xml:space="preserve"> и </w:t>
      </w:r>
      <w:r w:rsidRPr="00B91878">
        <w:rPr>
          <w:sz w:val="24"/>
        </w:rPr>
        <w:t>INCENP</w:t>
      </w:r>
      <w:r w:rsidRPr="00B91878">
        <w:rPr>
          <w:sz w:val="24"/>
          <w:lang w:val="ru-RU"/>
        </w:rPr>
        <w:t xml:space="preserve">) и хроматин-связывающийся сенсор Авроры Б. Клетки были обработаны ингибитором кинезина-5 </w:t>
      </w:r>
      <w:r w:rsidRPr="00B91878">
        <w:rPr>
          <w:sz w:val="24"/>
        </w:rPr>
        <w:t>STLC</w:t>
      </w:r>
      <w:r w:rsidRPr="00B91878">
        <w:rPr>
          <w:sz w:val="24"/>
          <w:lang w:val="ru-RU"/>
        </w:rPr>
        <w:t xml:space="preserve"> для создания монополярных веретен, а затем сняты в режиме реального времени во время добавления рапамицина, чтобы индуцировать локализацию </w:t>
      </w:r>
      <w:r w:rsidRPr="00B91878">
        <w:rPr>
          <w:sz w:val="24"/>
        </w:rPr>
        <w:t>INbox</w:t>
      </w:r>
      <w:r w:rsidRPr="00B91878">
        <w:rPr>
          <w:sz w:val="24"/>
          <w:lang w:val="ru-RU"/>
        </w:rPr>
        <w:t xml:space="preserve"> и Авроры Б в центромерах. Изображения показывают локализацию </w:t>
      </w:r>
      <w:r w:rsidRPr="00B91878">
        <w:rPr>
          <w:sz w:val="24"/>
        </w:rPr>
        <w:t>INbox</w:t>
      </w:r>
      <w:r w:rsidRPr="00B91878">
        <w:rPr>
          <w:sz w:val="24"/>
          <w:lang w:val="ru-RU"/>
        </w:rPr>
        <w:t xml:space="preserve"> (нижний ряд) и соотношение </w:t>
      </w:r>
      <w:r w:rsidRPr="00B91878">
        <w:rPr>
          <w:sz w:val="24"/>
        </w:rPr>
        <w:t>YFP</w:t>
      </w:r>
      <w:r w:rsidRPr="00B91878">
        <w:rPr>
          <w:sz w:val="24"/>
          <w:lang w:val="ru-RU"/>
        </w:rPr>
        <w:t xml:space="preserve"> / </w:t>
      </w:r>
      <w:r w:rsidRPr="00B91878">
        <w:rPr>
          <w:sz w:val="24"/>
        </w:rPr>
        <w:t>CFP</w:t>
      </w:r>
      <w:r w:rsidRPr="00B91878">
        <w:rPr>
          <w:sz w:val="24"/>
          <w:lang w:val="ru-RU"/>
        </w:rPr>
        <w:t xml:space="preserve"> сигналов (верхних ряд) для одной клетки. График показывает отношение </w:t>
      </w:r>
      <w:r w:rsidRPr="00B91878">
        <w:rPr>
          <w:sz w:val="24"/>
        </w:rPr>
        <w:t>FRET</w:t>
      </w:r>
      <w:r w:rsidRPr="00B91878">
        <w:rPr>
          <w:sz w:val="24"/>
          <w:lang w:val="ru-RU"/>
        </w:rPr>
        <w:t>-сигналов, усредненное по хроматину в нескольких клетках (</w:t>
      </w:r>
      <w:r w:rsidRPr="00B91878">
        <w:rPr>
          <w:sz w:val="24"/>
        </w:rPr>
        <w:t>n</w:t>
      </w:r>
      <w:r w:rsidRPr="00B91878">
        <w:rPr>
          <w:sz w:val="24"/>
          <w:lang w:val="ru-RU"/>
        </w:rPr>
        <w:t xml:space="preserve">≥10), для клеток, обработанных и не обработанных на 3 минуте (стрелка) рапамицином. </w:t>
      </w:r>
      <w:r w:rsidRPr="00B91878">
        <w:rPr>
          <w:sz w:val="24"/>
        </w:rPr>
        <w:t>FRET</w:t>
      </w:r>
      <w:r w:rsidRPr="00B91878">
        <w:rPr>
          <w:sz w:val="24"/>
          <w:lang w:val="ru-RU"/>
        </w:rPr>
        <w:t xml:space="preserve">-отношение = 1,3 (горизонтальная пунктирная линия) показывает максимальную активность Авроры Б в клетках без удаления эндогенного </w:t>
      </w:r>
      <w:r w:rsidRPr="00B91878">
        <w:rPr>
          <w:sz w:val="24"/>
        </w:rPr>
        <w:t>INCENP</w:t>
      </w:r>
      <w:r w:rsidRPr="00B91878">
        <w:rPr>
          <w:sz w:val="24"/>
          <w:lang w:val="ru-RU"/>
        </w:rPr>
        <w:t xml:space="preserve">. Эксперимент повторен трижды с аналогичными результатами. </w:t>
      </w:r>
    </w:p>
    <w:p w:rsidR="006F4F2B" w:rsidRPr="00B91878" w:rsidRDefault="006F4F2B" w:rsidP="006D3911">
      <w:pPr>
        <w:spacing w:line="360" w:lineRule="auto"/>
        <w:ind w:firstLine="709"/>
        <w:rPr>
          <w:sz w:val="24"/>
          <w:lang w:val="ru-RU"/>
        </w:rPr>
      </w:pP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Для определения кинетических констант авто-активации Авроры В, мы измеряли in vitro в режиме реального времени фосфорилирование с использованием очищенной рекомбинантной киназы Авроры В с фрагментом InBox, который достаточен для авто-активации киназы (Sessa et al., 2005; Rosasco-Nitcher et al., 2008). Мы обнаружили, что дефосфорилированная киназа Аврора В была на два порядка менее активна, чем фосфорилированная Аврора В, поэтому мы в дальнейшем обозначаем это состояние киназы как частично активное. Далее, мы попытались определить кинетические параметры авто-активации Авроры В. Исследования показали, что частично активная Аврора В может авто-активироваться так же и в режиме цис-активации, т.е. внутримолекулярно (Рис. 2А-С). Для того, чтобы выявить транс-компоненту, мы проводили эксперименты с использованием высокой концентрации частично активной Авроры В, имитируя тем самым её кластеризацию на клеточных сайтах связывания. Эта модель продемонстрировала, что авто-активация киназы в цис-режиме преобладает над транс-активацией во время первоначальной активации при низкой концентрации киназы (Рис. 2D,E).</w:t>
      </w:r>
    </w:p>
    <w:p w:rsidR="00F04A0E" w:rsidRPr="00B91878" w:rsidRDefault="00F04A0E" w:rsidP="00F04A0E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Наши результаты, изложенные выше, предполагают, что при смешении киназы Аврора В, фосфатазы и АТФ, две реакции должны проходить одновременно: авто-активация Авроры В и ее инактивация фосфатазой. Мы построили количественную модель такой спаренной системы киназы-фосфатазы (Рис. 3А). Мы обнаружили, что при высокой концентрации киназы могут существовать одновременно три стационарных решения (Рис. 3В). Бистабильность возникает, когда концентрация Авроры В превышает 4 мкМ, при этом дальнейшее увеличение концентрации Авроры В расширяет диапазон допустимых концентраций фосфатазы. В этой области однородная смесь киназы и фосфатазы может существовать в одном из двух устойчивых состояний с различной активностью киназы, высокой или низкой, в зависимости от начальных условий (Рис. 3С). Для бистабильного режима, увеличение концентрации активной киназы Аврора В выше порогового значения приводит к переключению биохимической системы между двумя состояниями без промежуточных стационарных состояний (Рис. 3 D-F). Таким образом, киназа Аврора В, в сочетании с инактивирующей фосфатазой, проявляет устойчивый гистерезис и бистабильность.</w:t>
      </w:r>
    </w:p>
    <w:p w:rsidR="006F4F2B" w:rsidRPr="00B91878" w:rsidRDefault="006F4F2B" w:rsidP="006D3911">
      <w:pPr>
        <w:spacing w:line="360" w:lineRule="auto"/>
        <w:ind w:firstLine="709"/>
        <w:rPr>
          <w:sz w:val="24"/>
          <w:lang w:val="ru-RU"/>
        </w:rPr>
      </w:pPr>
    </w:p>
    <w:p w:rsidR="006F4F2B" w:rsidRPr="00B91878" w:rsidRDefault="006F4F2B" w:rsidP="006F4F2B">
      <w:pPr>
        <w:spacing w:after="200" w:line="276" w:lineRule="auto"/>
        <w:jc w:val="center"/>
        <w:rPr>
          <w:rFonts w:ascii="Calibri" w:eastAsia="Calibri" w:hAnsi="Calibri" w:cs="Calibri"/>
          <w:lang w:val="ru-RU"/>
        </w:rPr>
      </w:pPr>
      <w:r w:rsidRPr="00B91878">
        <w:rPr>
          <w:rFonts w:ascii="Calibri" w:eastAsia="Calibri" w:hAnsi="Calibri" w:cs="Calibri"/>
          <w:noProof/>
          <w:lang w:val="ru-RU" w:eastAsia="ru-RU"/>
        </w:rPr>
        <w:lastRenderedPageBreak/>
        <w:drawing>
          <wp:inline distT="0" distB="0" distL="0" distR="0" wp14:anchorId="3698E34F" wp14:editId="22552FEF">
            <wp:extent cx="5037666" cy="3628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11" cy="36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2B" w:rsidRPr="00B91878" w:rsidRDefault="006F4F2B" w:rsidP="006F4F2B">
      <w:pPr>
        <w:spacing w:line="360" w:lineRule="auto"/>
        <w:ind w:firstLine="709"/>
        <w:rPr>
          <w:rFonts w:ascii="Calibri" w:eastAsia="Calibri" w:hAnsi="Calibri" w:cs="Calibri"/>
          <w:sz w:val="28"/>
          <w:lang w:val="ru-RU"/>
        </w:rPr>
      </w:pPr>
      <w:r w:rsidRPr="00B91878">
        <w:rPr>
          <w:sz w:val="24"/>
          <w:lang w:val="ru-RU"/>
        </w:rPr>
        <w:t xml:space="preserve">Рисунок 2. Авто-активация Авроры Б </w:t>
      </w:r>
      <w:r w:rsidRPr="00B91878">
        <w:rPr>
          <w:sz w:val="24"/>
        </w:rPr>
        <w:t>in</w:t>
      </w:r>
      <w:r w:rsidRPr="00B91878">
        <w:rPr>
          <w:sz w:val="24"/>
          <w:lang w:val="ru-RU"/>
        </w:rPr>
        <w:t xml:space="preserve"> </w:t>
      </w:r>
      <w:r w:rsidRPr="00B91878">
        <w:rPr>
          <w:sz w:val="24"/>
        </w:rPr>
        <w:t>vitro</w:t>
      </w:r>
      <w:r w:rsidRPr="00B91878">
        <w:rPr>
          <w:sz w:val="24"/>
          <w:lang w:val="ru-RU"/>
        </w:rPr>
        <w:t>. (</w:t>
      </w:r>
      <w:r w:rsidRPr="00B91878">
        <w:rPr>
          <w:b/>
          <w:sz w:val="24"/>
          <w:lang w:val="ru-RU"/>
        </w:rPr>
        <w:t>A</w:t>
      </w:r>
      <w:r w:rsidRPr="00B91878">
        <w:rPr>
          <w:sz w:val="24"/>
          <w:lang w:val="ru-RU"/>
        </w:rPr>
        <w:t xml:space="preserve">) Фосфорилирование 20 мкмолей хемосенсора указанной концентрацией частично активной киназы Аврора Б. Приведённые данные являются усреднением за </w:t>
      </w:r>
      <w:r w:rsidRPr="00B91878">
        <w:rPr>
          <w:sz w:val="24"/>
        </w:rPr>
        <w:t>N</w:t>
      </w:r>
      <w:r w:rsidRPr="00B91878">
        <w:rPr>
          <w:sz w:val="24"/>
          <w:lang w:val="ru-RU"/>
        </w:rPr>
        <w:t xml:space="preserve"> = 2 эксперимента для каждой концентрации киназы; указаны ошибки </w:t>
      </w:r>
      <w:r w:rsidRPr="00B91878">
        <w:rPr>
          <w:sz w:val="24"/>
        </w:rPr>
        <w:t>SEM</w:t>
      </w:r>
      <w:r w:rsidRPr="00B91878">
        <w:rPr>
          <w:sz w:val="24"/>
          <w:lang w:val="ru-RU"/>
        </w:rPr>
        <w:t xml:space="preserve">. Чёрные линии – это теоретические кривые по реакционной схеме из </w:t>
      </w:r>
      <w:r w:rsidRPr="00B91878">
        <w:rPr>
          <w:b/>
          <w:sz w:val="24"/>
        </w:rPr>
        <w:t>E</w:t>
      </w:r>
      <w:r w:rsidRPr="00B91878">
        <w:rPr>
          <w:sz w:val="24"/>
          <w:lang w:val="ru-RU"/>
        </w:rPr>
        <w:t>. (</w:t>
      </w:r>
      <w:r w:rsidRPr="00B91878">
        <w:rPr>
          <w:b/>
          <w:sz w:val="24"/>
        </w:rPr>
        <w:t>B</w:t>
      </w:r>
      <w:r w:rsidRPr="00B91878">
        <w:rPr>
          <w:sz w:val="24"/>
          <w:lang w:val="ru-RU"/>
        </w:rPr>
        <w:t xml:space="preserve">) Молекулярная схема авто-активации Авроры Б по транс и цис механизму. А и А* означают частично активную (дефосфорилированную) и активную киназу; </w:t>
      </w:r>
      <w:r w:rsidRPr="00B91878">
        <w:rPr>
          <w:sz w:val="24"/>
        </w:rPr>
        <w:t>S</w:t>
      </w:r>
      <w:r w:rsidRPr="00B91878">
        <w:rPr>
          <w:sz w:val="24"/>
          <w:lang w:val="ru-RU"/>
        </w:rPr>
        <w:t xml:space="preserve"> и </w:t>
      </w:r>
      <w:r w:rsidRPr="00B91878">
        <w:rPr>
          <w:sz w:val="24"/>
        </w:rPr>
        <w:t>P</w:t>
      </w:r>
      <w:r w:rsidRPr="00B91878">
        <w:rPr>
          <w:sz w:val="24"/>
          <w:lang w:val="ru-RU"/>
        </w:rPr>
        <w:t xml:space="preserve"> означают субстрат и продукт (нефосфорилированный и фосфорилированный хемосенсор, соответственно). (</w:t>
      </w:r>
      <w:r w:rsidRPr="00B91878">
        <w:rPr>
          <w:b/>
          <w:sz w:val="24"/>
        </w:rPr>
        <w:t>C</w:t>
      </w:r>
      <w:r w:rsidRPr="00B91878">
        <w:rPr>
          <w:sz w:val="24"/>
          <w:lang w:val="ru-RU"/>
        </w:rPr>
        <w:t xml:space="preserve">) Коэффициент </w:t>
      </w:r>
      <w:r w:rsidRPr="00B91878">
        <w:rPr>
          <w:sz w:val="24"/>
        </w:rPr>
        <w:t>k</w:t>
      </w:r>
      <w:r w:rsidRPr="00B91878">
        <w:rPr>
          <w:sz w:val="24"/>
          <w:lang w:val="ru-RU"/>
        </w:rPr>
        <w:t xml:space="preserve"> для квадратичной фазы фосфорилированния хемосенсора частично активированной Авророй Б против концентрации киназы (</w:t>
      </w:r>
      <w:r w:rsidRPr="00B91878">
        <w:rPr>
          <w:b/>
          <w:sz w:val="24"/>
        </w:rPr>
        <w:t>A</w:t>
      </w:r>
      <w:r w:rsidRPr="00B91878">
        <w:rPr>
          <w:sz w:val="24"/>
          <w:lang w:val="ru-RU"/>
        </w:rPr>
        <w:t>) построенной на логарифмически-логарифмической шкале. Линия является линейной аппроксимацией. (</w:t>
      </w:r>
      <w:r w:rsidRPr="00B91878">
        <w:rPr>
          <w:b/>
          <w:sz w:val="24"/>
        </w:rPr>
        <w:t>D</w:t>
      </w:r>
      <w:r w:rsidRPr="00B91878">
        <w:rPr>
          <w:sz w:val="24"/>
          <w:lang w:val="ru-RU"/>
        </w:rPr>
        <w:t xml:space="preserve">) Диаграмма экспериментальной процедуры для оценки авто-активации Авроры Б при высокой концентрации (4 мкмоль). Экспериментальный график справа показывает изменения в концентрации активной Авроры Б. Точки является средним +/- </w:t>
      </w:r>
      <w:r w:rsidRPr="00B91878">
        <w:rPr>
          <w:sz w:val="24"/>
        </w:rPr>
        <w:t>SEM</w:t>
      </w:r>
      <w:r w:rsidRPr="00B91878">
        <w:rPr>
          <w:sz w:val="24"/>
          <w:lang w:val="ru-RU"/>
        </w:rPr>
        <w:t xml:space="preserve"> для </w:t>
      </w:r>
      <w:r w:rsidRPr="00B91878">
        <w:rPr>
          <w:sz w:val="24"/>
        </w:rPr>
        <w:t>N</w:t>
      </w:r>
      <w:r w:rsidRPr="00B91878">
        <w:rPr>
          <w:sz w:val="24"/>
          <w:lang w:val="ru-RU"/>
        </w:rPr>
        <w:t xml:space="preserve">≥4 экспериментов. Непрерывная линия – это аппроксимация по реакционной схеме </w:t>
      </w:r>
      <w:r w:rsidRPr="00B91878">
        <w:rPr>
          <w:b/>
          <w:sz w:val="24"/>
        </w:rPr>
        <w:t>E</w:t>
      </w:r>
      <w:r w:rsidRPr="00B91878">
        <w:rPr>
          <w:sz w:val="24"/>
          <w:lang w:val="ru-RU"/>
        </w:rPr>
        <w:t>. Пунктирная линия – это аппроксимация использующее аналитическое решение для А*(</w:t>
      </w:r>
      <w:r w:rsidRPr="00B91878">
        <w:rPr>
          <w:sz w:val="24"/>
        </w:rPr>
        <w:t>t</w:t>
      </w:r>
      <w:r w:rsidRPr="00B91878">
        <w:rPr>
          <w:sz w:val="24"/>
          <w:lang w:val="ru-RU"/>
        </w:rPr>
        <w:t>) для реакционной схемы с только цис- активацией Авроры Б. (</w:t>
      </w:r>
      <w:r w:rsidRPr="00B91878">
        <w:rPr>
          <w:b/>
          <w:sz w:val="24"/>
        </w:rPr>
        <w:t>E</w:t>
      </w:r>
      <w:r w:rsidRPr="00B91878">
        <w:rPr>
          <w:sz w:val="24"/>
          <w:lang w:val="ru-RU"/>
        </w:rPr>
        <w:t xml:space="preserve">) Молекулярная схема для двух компонентной авто-активации Авроры Б в присутствии хемосенсора и соответствующих реакциях. </w:t>
      </w:r>
    </w:p>
    <w:p w:rsidR="006F4F2B" w:rsidRPr="00B91878" w:rsidRDefault="006F4F2B" w:rsidP="006F4F2B">
      <w:pPr>
        <w:spacing w:after="200" w:line="276" w:lineRule="auto"/>
        <w:jc w:val="center"/>
        <w:rPr>
          <w:rFonts w:ascii="Calibri" w:eastAsia="Calibri" w:hAnsi="Calibri" w:cs="Calibri"/>
          <w:lang w:val="ru-RU"/>
        </w:rPr>
      </w:pPr>
      <w:r w:rsidRPr="00B91878">
        <w:rPr>
          <w:rFonts w:ascii="Calibri" w:eastAsia="Calibri" w:hAnsi="Calibri" w:cs="Calibri"/>
          <w:noProof/>
          <w:lang w:val="ru-RU" w:eastAsia="ru-RU"/>
        </w:rPr>
        <w:lastRenderedPageBreak/>
        <w:drawing>
          <wp:inline distT="0" distB="0" distL="0" distR="0" wp14:anchorId="391C9C52" wp14:editId="19A5CDFB">
            <wp:extent cx="2435784" cy="38785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2" cy="3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2B" w:rsidRPr="00B91878" w:rsidRDefault="006F4F2B" w:rsidP="006F4F2B">
      <w:pPr>
        <w:spacing w:line="360" w:lineRule="auto"/>
        <w:ind w:firstLine="709"/>
        <w:contextualSpacing/>
        <w:rPr>
          <w:rFonts w:eastAsia="Calibri"/>
          <w:sz w:val="24"/>
          <w:szCs w:val="20"/>
          <w:lang w:val="ru-RU"/>
        </w:rPr>
      </w:pPr>
      <w:r w:rsidRPr="00B91878">
        <w:rPr>
          <w:rFonts w:eastAsia="Calibri"/>
          <w:sz w:val="24"/>
          <w:szCs w:val="20"/>
          <w:lang w:val="ru-RU"/>
        </w:rPr>
        <w:t>Рисунок 3.  Теоретический анализ спаренной системы киназы Аврора Б - фосфатазы. (</w:t>
      </w:r>
      <w:r w:rsidRPr="00B91878">
        <w:rPr>
          <w:rFonts w:eastAsia="Calibri"/>
          <w:b/>
          <w:sz w:val="24"/>
          <w:szCs w:val="20"/>
          <w:lang w:val="ru-RU"/>
        </w:rPr>
        <w:t>A</w:t>
      </w:r>
      <w:r w:rsidRPr="00B91878">
        <w:rPr>
          <w:rFonts w:eastAsia="Calibri"/>
          <w:sz w:val="24"/>
          <w:szCs w:val="20"/>
          <w:lang w:val="ru-RU"/>
        </w:rPr>
        <w:t>) Молекулярная схема для спаренной системы и соответствующие реакции. Для реакций 1 и 2 см. рисунок 2E, и таблицы 1 и 2 для более подробной информации. (</w:t>
      </w:r>
      <w:r w:rsidRPr="00B91878">
        <w:rPr>
          <w:rFonts w:eastAsia="Calibri"/>
          <w:b/>
          <w:sz w:val="24"/>
          <w:szCs w:val="20"/>
          <w:lang w:val="ru-RU"/>
        </w:rPr>
        <w:t>B</w:t>
      </w:r>
      <w:r w:rsidRPr="00B91878">
        <w:rPr>
          <w:rFonts w:eastAsia="Calibri"/>
          <w:sz w:val="24"/>
          <w:szCs w:val="20"/>
          <w:lang w:val="ru-RU"/>
        </w:rPr>
        <w:t>) Стационарные решения для концентрации активной киназы Аврора Б в зависимости от концентрации фосфатазы. Для 8 мкмолей Авроры Б могут сосуществовать три стационарных состояния: два устойчивых состояния с высокой и низкой активностью и одно нестабильное состояние (пунктирная линия), соответствующее области бистабильности. (</w:t>
      </w:r>
      <w:r w:rsidRPr="00B91878">
        <w:rPr>
          <w:rFonts w:eastAsia="Calibri"/>
          <w:b/>
          <w:sz w:val="24"/>
          <w:szCs w:val="20"/>
          <w:lang w:val="ru-RU"/>
        </w:rPr>
        <w:t>C</w:t>
      </w:r>
      <w:r w:rsidRPr="00B91878">
        <w:rPr>
          <w:rFonts w:eastAsia="Calibri"/>
          <w:sz w:val="24"/>
          <w:szCs w:val="20"/>
          <w:lang w:val="ru-RU"/>
        </w:rPr>
        <w:t xml:space="preserve">) Область бистабильности в параметрической плоскости концентрации фосфатазы и общей концентрации (и фосфорилированной, и дефосфорилированной) киназы Авроры Б. В этой области модель имеет два сосуществующих стабильных стационарных решения, в то время как концентрации ферментов вне этой области приведут только к одному стационарному состоянию. Цветные линии соответствуют решениям, представленным в </w:t>
      </w:r>
      <w:r w:rsidRPr="00B91878">
        <w:rPr>
          <w:rFonts w:eastAsia="Calibri"/>
          <w:b/>
          <w:sz w:val="24"/>
          <w:szCs w:val="20"/>
        </w:rPr>
        <w:t>B</w:t>
      </w:r>
      <w:r w:rsidRPr="00B91878">
        <w:rPr>
          <w:rFonts w:eastAsia="Calibri"/>
          <w:b/>
          <w:sz w:val="24"/>
          <w:szCs w:val="20"/>
          <w:lang w:val="ru-RU"/>
        </w:rPr>
        <w:t xml:space="preserve"> </w:t>
      </w:r>
      <w:r w:rsidRPr="00B91878">
        <w:rPr>
          <w:rFonts w:eastAsia="Calibri"/>
          <w:sz w:val="24"/>
          <w:szCs w:val="20"/>
          <w:lang w:val="ru-RU"/>
        </w:rPr>
        <w:t>для активной киназы. (</w:t>
      </w:r>
      <w:r w:rsidRPr="00B91878">
        <w:rPr>
          <w:rFonts w:eastAsia="Calibri"/>
          <w:b/>
          <w:sz w:val="24"/>
          <w:szCs w:val="20"/>
          <w:lang w:val="ru-RU"/>
        </w:rPr>
        <w:t>D</w:t>
      </w:r>
      <w:r w:rsidRPr="00B91878">
        <w:rPr>
          <w:rFonts w:eastAsia="Calibri"/>
          <w:sz w:val="24"/>
          <w:szCs w:val="20"/>
          <w:lang w:val="ru-RU"/>
        </w:rPr>
        <w:t xml:space="preserve">) Теоретические предсказания изменения концентрации активной киназы Авроры Б, представлены в виде доли от общей концентрации киназы для двух различных начальных условий. Исходная концентрация несколько выше, чем пороговое значение (горизонтальная линия), имеет стационарное решение с большей долей активной киназы (верхнее состояние). Напротив, доля активной киназы Аврора Б снижается, когда её начальная концентрация </w:t>
      </w:r>
      <w:r w:rsidRPr="00B91878">
        <w:rPr>
          <w:rFonts w:eastAsia="Calibri"/>
          <w:sz w:val="24"/>
          <w:szCs w:val="20"/>
          <w:lang w:val="ru-RU"/>
        </w:rPr>
        <w:lastRenderedPageBreak/>
        <w:t>находится ниже порогового значения (нижнее состояние). Расчеты были проведены для 8 мкмолей общей концентрации киназы Авроры Б и 0,47 мкмолей фосфатазы. (</w:t>
      </w:r>
      <w:r w:rsidRPr="00B91878">
        <w:rPr>
          <w:rFonts w:eastAsia="Calibri"/>
          <w:b/>
          <w:sz w:val="24"/>
          <w:szCs w:val="20"/>
          <w:lang w:val="ru-RU"/>
        </w:rPr>
        <w:t>E</w:t>
      </w:r>
      <w:r w:rsidRPr="00B91878">
        <w:rPr>
          <w:rFonts w:eastAsia="Calibri"/>
          <w:sz w:val="24"/>
          <w:szCs w:val="20"/>
          <w:lang w:val="ru-RU"/>
        </w:rPr>
        <w:t>) Моделирование возмущения в реакции с 0,47 мкмолями фосфатазы и 8 мкмолями общей концентрации киназы Авроры Б. Активная киназа добавлена 3 раза, в указанные моменты (вертикальные стрелки). Система возвращается к стационарному состоянию с низкой активностью киназы Авроры Б до превышения порога. (</w:t>
      </w:r>
      <w:r w:rsidRPr="00B91878">
        <w:rPr>
          <w:rFonts w:eastAsia="Calibri"/>
          <w:b/>
          <w:sz w:val="24"/>
          <w:szCs w:val="20"/>
          <w:lang w:val="ru-RU"/>
        </w:rPr>
        <w:t>F</w:t>
      </w:r>
      <w:r w:rsidRPr="00B91878">
        <w:rPr>
          <w:rFonts w:eastAsia="Calibri"/>
          <w:sz w:val="24"/>
          <w:szCs w:val="20"/>
          <w:lang w:val="ru-RU"/>
        </w:rPr>
        <w:t>) Петля гистерезиса в системе киназа-фосфатаза с 8 мкмолями киназы. Концентрация фосфатазы изначально была низкой, так что почти вся киназа Авроры Б была активна. По мере того как концентрация фосфатазы постепенно увеличивается до 0,8 мкмолей, стационарная концентрация активной киназы Авроры Б уменьшалась (верхняя линия со стрелкой вниз). Отличные от предыдущих решения были получены при постепенном уменьшении концентрации фосфатазы назад до 0 мкмолей (нижняя линия с двумя стрелками вверх).</w:t>
      </w:r>
    </w:p>
    <w:p w:rsidR="00F04A0E" w:rsidRPr="00B91878" w:rsidRDefault="00F04A0E" w:rsidP="006F4F2B">
      <w:pPr>
        <w:spacing w:line="360" w:lineRule="auto"/>
        <w:ind w:firstLine="709"/>
        <w:contextualSpacing/>
        <w:rPr>
          <w:rFonts w:eastAsia="Calibri"/>
          <w:sz w:val="24"/>
          <w:szCs w:val="20"/>
          <w:lang w:val="ru-RU"/>
        </w:rPr>
      </w:pP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Используя воссозданную in vitro систему, далее мы разработали эксперимент, проверяющий предсказание нашей теоретической модели, что при высокой концентрации Авроры В одна и та же смесь киназы и фосфатазы приведет к разным уровням активности Авроры В в зависимости от начальных условий. Мы соединили киназу Аврора В (8 ммоль), АТФ (4 ммоль) и различные концентрации фосфатазы λ фага, и скомбинировали их таким образом, что как активация, так и инктивация Авроры В могли бы происходить одновременно (Рис. 4А). Как и ожидалось, при низкой концентрации фосфатазы (0,25 ммоль) частично активная киназа постепенно активировалась, достигая стабильного состояния с высокой активностью, в то время как активная киназа немного теряла свою активность (Рис. 4B). При высокой концентрации фосфатазы (0.5 ммоль) активная киназа была пересилена фосфатазой и становилась постепенно неактивной, достигая уровня близкого к полностью дефосфорелированной киназе. Эти результаты демонстрируют бистабильность, поскольку в обоих этих ферментативных смесях итоговые концентрации всех компонентов были идентичны, и реакциям было позволено происходить достаточно долго для того, чтобы достичь стабильного состояния (120 мин). Эти данные, представленные как функция концентрации фосфатазы в Рис. 4С, показывают, что бистабильная область для гомогенных систем in vitro находится в количественном согласии с предсказаниями модели. В этом диапазоне концентраций спаренные киназо-фосфатные системы показывают гистерезис, с разным уровнем активности, зависящим от начальных условий.</w:t>
      </w:r>
    </w:p>
    <w:p w:rsidR="006F4F2B" w:rsidRPr="00B91878" w:rsidRDefault="006F4F2B" w:rsidP="006F4F2B">
      <w:pPr>
        <w:spacing w:after="200" w:line="276" w:lineRule="auto"/>
        <w:jc w:val="center"/>
        <w:rPr>
          <w:rFonts w:eastAsia="Calibri"/>
          <w:sz w:val="20"/>
          <w:szCs w:val="20"/>
          <w:lang w:val="ru-RU"/>
        </w:rPr>
      </w:pPr>
      <w:r w:rsidRPr="00B91878">
        <w:rPr>
          <w:rFonts w:eastAsia="Calibri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8DBE802" wp14:editId="776055B0">
            <wp:extent cx="3067380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40" cy="4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2B" w:rsidRPr="00B91878" w:rsidRDefault="006F4F2B" w:rsidP="006F4F2B">
      <w:pPr>
        <w:spacing w:line="360" w:lineRule="auto"/>
        <w:ind w:firstLine="709"/>
        <w:rPr>
          <w:rFonts w:eastAsia="Calibri"/>
          <w:sz w:val="24"/>
          <w:szCs w:val="20"/>
          <w:lang w:val="ru-RU"/>
        </w:rPr>
      </w:pPr>
      <w:r w:rsidRPr="00B91878">
        <w:rPr>
          <w:rFonts w:eastAsia="Calibri"/>
          <w:sz w:val="24"/>
          <w:szCs w:val="20"/>
          <w:lang w:val="ru-RU"/>
        </w:rPr>
        <w:t xml:space="preserve">Рисунок 4. Воссоздание спаренной системы киназы Аврора Б – фосфатазы </w:t>
      </w:r>
      <w:r w:rsidRPr="00B91878">
        <w:rPr>
          <w:rFonts w:eastAsia="Calibri"/>
          <w:sz w:val="24"/>
          <w:szCs w:val="20"/>
        </w:rPr>
        <w:t>in</w:t>
      </w:r>
      <w:r w:rsidRPr="00B91878">
        <w:rPr>
          <w:rFonts w:eastAsia="Calibri"/>
          <w:sz w:val="24"/>
          <w:szCs w:val="20"/>
          <w:lang w:val="ru-RU"/>
        </w:rPr>
        <w:t xml:space="preserve"> </w:t>
      </w:r>
      <w:r w:rsidRPr="00B91878">
        <w:rPr>
          <w:rFonts w:eastAsia="Calibri"/>
          <w:sz w:val="24"/>
          <w:szCs w:val="20"/>
        </w:rPr>
        <w:t>vitro</w:t>
      </w:r>
      <w:r w:rsidRPr="00B91878">
        <w:rPr>
          <w:rFonts w:eastAsia="Calibri"/>
          <w:sz w:val="24"/>
          <w:szCs w:val="20"/>
          <w:lang w:val="ru-RU"/>
        </w:rPr>
        <w:t>. (</w:t>
      </w:r>
      <w:r w:rsidRPr="00B91878">
        <w:rPr>
          <w:rFonts w:eastAsia="Calibri"/>
          <w:b/>
          <w:sz w:val="24"/>
          <w:szCs w:val="20"/>
          <w:lang w:val="ru-RU"/>
        </w:rPr>
        <w:t>А</w:t>
      </w:r>
      <w:r w:rsidRPr="00B91878">
        <w:rPr>
          <w:rFonts w:eastAsia="Calibri"/>
          <w:sz w:val="24"/>
          <w:szCs w:val="20"/>
          <w:lang w:val="ru-RU"/>
        </w:rPr>
        <w:t>) Диаграмма экспериментальной процедуры изучения бистабильности и гистерезиса. Активная киназа была предварительно инкубирована с фосфатазой в отсутствии АТФ, чтобы создавать частично активную киназу, и АТФ был добавлен во время = 0 («изначально низкий» эксперимент). В параллельном эксперименте те же самые реагенты были использованы, но активная киназа, фосфатаза и АТФ были перемешаны во время = 0 («изначально высокий» эксперимент). Образцы отбирались для анализа активности киназы до достижения соответствующих стационарные состояний. (</w:t>
      </w:r>
      <w:r w:rsidRPr="00B91878">
        <w:rPr>
          <w:rFonts w:eastAsia="Calibri"/>
          <w:b/>
          <w:sz w:val="24"/>
          <w:szCs w:val="20"/>
          <w:lang w:val="ru-RU"/>
        </w:rPr>
        <w:t>В</w:t>
      </w:r>
      <w:r w:rsidRPr="00B91878">
        <w:rPr>
          <w:rFonts w:eastAsia="Calibri"/>
          <w:sz w:val="24"/>
          <w:szCs w:val="20"/>
          <w:lang w:val="ru-RU"/>
        </w:rPr>
        <w:t xml:space="preserve">) Экспериментальные результаты (точки) для изменений активности киназы против инкубационного времени для 8 мкмолей киназы и 0.25, 0.45, и 0.5 мкмолей фосфатазы, соответственно. Каждая точка это соответствующее значение +/- SEM (N≥2) для экспериментов с активной (красной) или частично активной (синей) киназой Аврора Б. (С) Доля активной киназы в стационарном состоянии как функция концентраций фосфатазы. Точки – это соответствующие значения +/-SEM для N≥4 независимых экспериментов. Эти данные хорошо согласуются с моделью, построенной с использованием наших экспериментально установленных кинетических констант (сплошные линии в </w:t>
      </w:r>
      <w:r w:rsidRPr="00B91878">
        <w:rPr>
          <w:rFonts w:eastAsia="Calibri"/>
          <w:b/>
          <w:sz w:val="24"/>
          <w:szCs w:val="20"/>
          <w:lang w:val="ru-RU"/>
        </w:rPr>
        <w:t>B</w:t>
      </w:r>
      <w:r w:rsidRPr="00B91878">
        <w:rPr>
          <w:rFonts w:eastAsia="Calibri"/>
          <w:sz w:val="24"/>
          <w:szCs w:val="20"/>
          <w:lang w:val="ru-RU"/>
        </w:rPr>
        <w:t xml:space="preserve"> и </w:t>
      </w:r>
      <w:r w:rsidRPr="00B91878">
        <w:rPr>
          <w:rFonts w:eastAsia="Calibri"/>
          <w:b/>
          <w:sz w:val="24"/>
          <w:szCs w:val="20"/>
          <w:lang w:val="ru-RU"/>
        </w:rPr>
        <w:t>С</w:t>
      </w:r>
      <w:r w:rsidRPr="00B91878">
        <w:rPr>
          <w:rFonts w:eastAsia="Calibri"/>
          <w:sz w:val="24"/>
          <w:szCs w:val="20"/>
          <w:lang w:val="ru-RU"/>
        </w:rPr>
        <w:t>).</w:t>
      </w:r>
    </w:p>
    <w:p w:rsidR="006D3911" w:rsidRPr="00B91878" w:rsidRDefault="006D3911" w:rsidP="006D3911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6" w:name="_Toc473544247"/>
      <w:r w:rsidRPr="00B91878">
        <w:rPr>
          <w:rFonts w:ascii="Times New Roman" w:hAnsi="Times New Roman"/>
          <w:color w:val="auto"/>
          <w:sz w:val="24"/>
          <w:szCs w:val="28"/>
          <w:lang w:val="ru-RU"/>
        </w:rPr>
        <w:lastRenderedPageBreak/>
        <w:t>Трансляционные исследования пространственной динамики нарушений гемостаза</w:t>
      </w:r>
      <w:bookmarkEnd w:id="6"/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На данный момент завершено одно клиническое исследование: оценка состояния системы гемостаза у женщин в раннем послеродовом периоде. Цель исследования – оценка возможности применения глобальных тестов гемостаза для контроля свертывания и профилактики низкомолекулярными гепаринами в раннем послеродовом периоде.  В исследование включено 97 женщин, родоразрешенных с помощью операции кесарева сечения в плановом порядке. Для всех пациенток был собран полный анамнез, на основании которого они были распределены по группам риска тромботических осложнений, согласно шкале RCOG Green-top Guidelines No. 37a. В дальнейшем, это повлияло на решение врача назначить или не назначить профилактику тромбоза низкомолекулярным гепарином в течение раннего послеродового периода (профилактические дозировки составляли 4000-6000 ME анти-Xa активности эноксапарина раз в сутки либо 2850-3800 ME анти-Xa активности надропарина раз в сутки). Всем пациенткам был произведен забор крови через 3-5 часов после проведения операции кесарева сечения, перед назначением антикоагулянтной терапии, если таковая назначалась (точка 1), и на 2 сутки после проведения оперативного родоразрешения (точка 2). Забор крови в точке 2 производился перед очередной инъекцией низкомолекулярного гепарина, если была назначена антикоагулянтная профилактика. Лабораторные исследования включали в себя стандартную коагулограмму (АЧТВ, протромбин по Квику, концентрация фибриногена и D-димеров, анти-Xa активность для пациенток, получавших антикоагулянтную профилактику) и глобальные тесты гемостаза (тромбоэластометрия, тромбодинамика/тромбодинамика-4D).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 xml:space="preserve">В ходе исследования было показано, что глобальные тесты гемостаза (тромбоэластография и тромбодинамика/тромбодинамика-4D) оказались чувствительны к гиперкоагуляционному состоянию женщин после родоразрешения. Все тесты показали постепенное снижение уровня гиперкоагуляции в раннем послеродовом периоде. Также, мы провели сравнение чувствительности тестов к профилактическим дозам низкомолекулярных гепаринов, которое показало, что параметры тромбодинамики, характеризующие скорость роста сгустка (Vi, V и Vs) и амплитуда пика тромбина (Ast) являются чувствительными к антикоагулянтной профилактике. Проведенный ROC-анализ показал, что наиболее чувствительным параметром к наличию антикоагулянтной профилактики являются скорость роста фибринового сгустка (AUC=0,76) и амплитуда пика тромбина (AUC=0,75). Было </w:t>
      </w:r>
      <w:r w:rsidRPr="00B91878">
        <w:rPr>
          <w:sz w:val="24"/>
          <w:lang w:val="ru-RU"/>
        </w:rPr>
        <w:lastRenderedPageBreak/>
        <w:t>выявлено, что для части пациенток однократное введение антикоагулянтов оказалось недостаточно, поскольку они находились в гиперкоагуляции перед очередным введением гепарина.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Таким образом, в ходе исследования было выявлено, что глобальные тесты гемостаза, в частности тромбодинамика и тромбодинамика-4D, являются высокочувствительными одновременно к гиперкоагуляции и к профилактике низкомолекулярными гепаринами, что подтверждает их применимость для контроля свертывания в беременности и раннем послеродовом периоде. Лабораторный контроль состояния гемостаза позволит не только дополнительно снизить риск тромбоза у молодой матери, но и рационализировать и индивидуализировать терапию в группах высокого тромботического риска в раннем послеродовом периоде.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Также приводим предварительные данные по исследованию нарушений гемостаза в послеоперационном периоде после выполнения артропластики. Целью настоящего исследования было оценить чувствительность данных тестов к состоянию гиперкоагуляции в ранний послеоперационный период и их чувствительность к эффектам терапии прямыми оральными антикоагулянтами. В исследование были включены 107 взрослых пациентов, проходящие плановую замену тазобедренного и коленного суставов (максимальный возраст пациентов составлял 78 лет), из них 63 пациента получали в послеоперационном периоде Ксарелто (ривароксабан) в дозировке 10 мг/сут; 27 пациентов получали в послеоперационном периоде Продаксу (дабигатран) в дозировке 220 мг/сут; 17 пациентов получали в послеоперационном периоде надропарин кальция. Надропарин кальция вводился два раза в сутки в дозировке 3000 или 6000 МЕ утром и 3000 МЕ вечером. Лабораторные исследования проводились перед началом операции, сразу после операции и в течение 8 суток после операции на фоне терапии антикоагулянтными препаратами (в момент максимальной и минимальной концентрации препаратов в крови). Для каждого образца плазмы проводился тест Тромбодинамика – 4D.</w:t>
      </w:r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 xml:space="preserve">В исследовании продемонстрировано, что эффект операции оказывал большее влияние на фазу распространения свертывания, но не на фазу активации. Надропарин кальция приводил к значительному снижению количества тромбина и скорости его распространения ниже нормальных значений в тесте Тромбодинамика – 4D (Рис. </w:t>
      </w:r>
      <w:r w:rsidR="004D79F3" w:rsidRPr="00B91878">
        <w:rPr>
          <w:sz w:val="24"/>
          <w:lang w:val="ru-RU"/>
        </w:rPr>
        <w:t>5</w:t>
      </w:r>
      <w:r w:rsidRPr="00B91878">
        <w:rPr>
          <w:sz w:val="24"/>
          <w:lang w:val="ru-RU"/>
        </w:rPr>
        <w:t xml:space="preserve"> А, Б). При этом он не оказывал влияния на время задержки образования тромбина. Наибольший эффект при терапии ривароксабаном наблюдался для фазы активации свертывания (время задержки роста </w:t>
      </w:r>
      <w:r w:rsidRPr="00B91878">
        <w:rPr>
          <w:sz w:val="24"/>
          <w:lang w:val="ru-RU"/>
        </w:rPr>
        <w:lastRenderedPageBreak/>
        <w:t xml:space="preserve">сгустка удлинялось). После приема ривароксабана наблюдалось значительное снижение скоростей роста сгустка, однако в отличие от случая терапии надропарином кальция, они не опускались ниже нормального диапазона. Тест Тромбодинамика-4D демонстрировал значительное изменение пространственно-временного распределения тромбина после приема ривароксабана (Рис. </w:t>
      </w:r>
      <w:r w:rsidR="004D79F3" w:rsidRPr="00B91878">
        <w:rPr>
          <w:sz w:val="24"/>
          <w:lang w:val="ru-RU"/>
        </w:rPr>
        <w:t>5</w:t>
      </w:r>
      <w:r w:rsidRPr="00B91878">
        <w:rPr>
          <w:sz w:val="24"/>
          <w:lang w:val="ru-RU"/>
        </w:rPr>
        <w:t xml:space="preserve"> В): распространения в виде стационарного бегущего пика не происходит, после 40 минут измерения, тромбин распространяется в виде движущегося фронта. Общее количество тромбина и скорость его распространения снижаются. Аналогично ривароксабану, дабигатран приводил к достоверному удлинению времени задержки роста сгустка и снижению скорости роста сгустка (до диапазона нормальных значений). Распространение тромбина в виде четкого пика сохранялось, однако его амплитуда значительно снижалась. Дабигатран, в отличие от ривароксабана, не искажал формы движущегося пика, и в отличие от надропарина кальция, не приводил к снижению скоростей его распространения ниже нормального диапазона и снижению его амплитуды до нуля (Рис. </w:t>
      </w:r>
      <w:r w:rsidR="004D79F3" w:rsidRPr="00B91878">
        <w:rPr>
          <w:sz w:val="24"/>
          <w:lang w:val="ru-RU"/>
        </w:rPr>
        <w:t>5</w:t>
      </w:r>
      <w:r w:rsidRPr="00B91878">
        <w:rPr>
          <w:sz w:val="24"/>
          <w:lang w:val="ru-RU"/>
        </w:rPr>
        <w:t xml:space="preserve"> Г). При распространении тромбина не наблюдалось значительного снижения концентрации тромбина при его распространении от активатора.</w:t>
      </w: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F04A0E" w:rsidRPr="00B91878" w:rsidRDefault="00F04A0E" w:rsidP="006D3911">
      <w:pPr>
        <w:spacing w:line="360" w:lineRule="auto"/>
        <w:ind w:firstLine="709"/>
        <w:rPr>
          <w:sz w:val="24"/>
          <w:lang w:val="ru-RU"/>
        </w:rPr>
      </w:pPr>
    </w:p>
    <w:p w:rsidR="000D0EF3" w:rsidRPr="00B91878" w:rsidRDefault="000D0EF3" w:rsidP="000D0EF3">
      <w:pPr>
        <w:spacing w:after="200" w:line="276" w:lineRule="auto"/>
        <w:jc w:val="center"/>
      </w:pPr>
      <w:r w:rsidRPr="00B91878">
        <w:object w:dxaOrig="3906" w:dyaOrig="2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1.45pt;height:156pt" o:ole="">
            <v:imagedata r:id="rId12" o:title=""/>
          </v:shape>
          <o:OLEObject Type="Embed" ProgID="Origin50.Graph" ShapeID="_x0000_i1026" DrawAspect="Content" ObjectID="_1547322964" r:id="rId13"/>
        </w:object>
      </w:r>
      <w:r w:rsidRPr="00B91878">
        <w:object w:dxaOrig="4980" w:dyaOrig="3494">
          <v:shape id="_x0000_i1027" type="#_x0000_t75" style="width:225.6pt;height:159pt" o:ole="">
            <v:imagedata r:id="rId14" o:title=""/>
          </v:shape>
          <o:OLEObject Type="Embed" ProgID="Origin50.Graph" ShapeID="_x0000_i1027" DrawAspect="Content" ObjectID="_1547322965" r:id="rId15"/>
        </w:object>
      </w:r>
    </w:p>
    <w:p w:rsidR="000D0EF3" w:rsidRPr="00B91878" w:rsidRDefault="000D0EF3" w:rsidP="000D0EF3">
      <w:pPr>
        <w:spacing w:after="200" w:line="276" w:lineRule="auto"/>
        <w:jc w:val="center"/>
      </w:pPr>
      <w:r w:rsidRPr="00B91878">
        <w:object w:dxaOrig="4980" w:dyaOrig="3494">
          <v:shape id="_x0000_i1028" type="#_x0000_t75" style="width:221.35pt;height:156pt" o:ole="">
            <v:imagedata r:id="rId16" o:title=""/>
          </v:shape>
          <o:OLEObject Type="Embed" ProgID="Origin50.Graph" ShapeID="_x0000_i1028" DrawAspect="Content" ObjectID="_1547322966" r:id="rId17"/>
        </w:object>
      </w:r>
      <w:r w:rsidRPr="00B91878">
        <w:object w:dxaOrig="3906" w:dyaOrig="2742">
          <v:shape id="_x0000_i1029" type="#_x0000_t75" style="width:221.45pt;height:156pt" o:ole="">
            <v:imagedata r:id="rId18" o:title=""/>
          </v:shape>
          <o:OLEObject Type="Embed" ProgID="Origin50.Graph" ShapeID="_x0000_i1029" DrawAspect="Content" ObjectID="_1547322967" r:id="rId19"/>
        </w:object>
      </w:r>
    </w:p>
    <w:p w:rsidR="000D0EF3" w:rsidRPr="00B91878" w:rsidRDefault="000D0EF3" w:rsidP="000D0EF3">
      <w:pPr>
        <w:spacing w:line="360" w:lineRule="auto"/>
        <w:ind w:firstLine="709"/>
        <w:rPr>
          <w:rFonts w:eastAsia="Calibri"/>
          <w:sz w:val="24"/>
          <w:szCs w:val="20"/>
          <w:lang w:val="ru-RU"/>
        </w:rPr>
      </w:pPr>
      <w:r w:rsidRPr="00B91878">
        <w:rPr>
          <w:rFonts w:eastAsia="Calibri"/>
          <w:sz w:val="24"/>
          <w:szCs w:val="20"/>
          <w:lang w:val="ru-RU"/>
        </w:rPr>
        <w:t>Рис</w:t>
      </w:r>
      <w:r w:rsidR="004D79F3" w:rsidRPr="00B91878">
        <w:rPr>
          <w:rFonts w:eastAsia="Calibri"/>
          <w:sz w:val="24"/>
          <w:szCs w:val="20"/>
          <w:lang w:val="ru-RU"/>
        </w:rPr>
        <w:t>унок 5</w:t>
      </w:r>
      <w:r w:rsidRPr="00B91878">
        <w:rPr>
          <w:rFonts w:eastAsia="Calibri"/>
          <w:sz w:val="24"/>
          <w:szCs w:val="20"/>
          <w:lang w:val="ru-RU"/>
        </w:rPr>
        <w:t>. Влияние антикоагулянтных препаратов на пространственно-временное распределение тромбина. Данные распределений тромбина в пространстве в различные моменты времени нормальной плазме (А) и нормальной плазме с добавлением нефраксицонированного гепарина в концентрации 0,04 МЕ/мл (Б), ривароксабана в концентрации 0,3 мкМ (В) и дабигатрана в концентрации 0,3 мкМ (Г).</w:t>
      </w:r>
    </w:p>
    <w:p w:rsidR="0074390C" w:rsidRPr="00B91878" w:rsidRDefault="0074390C" w:rsidP="006D3911">
      <w:pPr>
        <w:spacing w:line="360" w:lineRule="auto"/>
        <w:ind w:firstLine="709"/>
        <w:rPr>
          <w:sz w:val="24"/>
          <w:lang w:val="ru-RU"/>
        </w:rPr>
      </w:pPr>
    </w:p>
    <w:p w:rsidR="0074390C" w:rsidRPr="00B91878" w:rsidRDefault="0074390C" w:rsidP="0074390C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7" w:name="_Toc473544248"/>
      <w:r w:rsidRPr="00B91878">
        <w:rPr>
          <w:rFonts w:ascii="Times New Roman" w:hAnsi="Times New Roman"/>
          <w:color w:val="auto"/>
          <w:sz w:val="24"/>
          <w:szCs w:val="28"/>
          <w:lang w:val="ru-RU"/>
        </w:rPr>
        <w:t>Теоретические представления о пространственно-временной регуляции системы свертывания крови</w:t>
      </w:r>
      <w:bookmarkEnd w:id="7"/>
    </w:p>
    <w:p w:rsidR="006D3911" w:rsidRPr="00B91878" w:rsidRDefault="006D3911" w:rsidP="006D3911">
      <w:pPr>
        <w:spacing w:line="360" w:lineRule="auto"/>
        <w:ind w:firstLine="709"/>
        <w:rPr>
          <w:sz w:val="24"/>
          <w:lang w:val="ru-RU"/>
        </w:rPr>
      </w:pPr>
      <w:r w:rsidRPr="00B91878">
        <w:rPr>
          <w:sz w:val="24"/>
          <w:lang w:val="ru-RU"/>
        </w:rPr>
        <w:t>На первом этапе работы по данному направлению из литературных источников была собрана информация по механизмам и константам отдельных реакций свертывания и на основе этого создана первая версия детальной математической модели свертывания. Были проведены экспериментальные исследования структурообразования и распространения волны тромбина в разных условиях (в присутствии различной концентрации тканевого фактора, липидов, факторов свертывания и антикоагулянтных препаратов), на основании которых был произведен фиттинг модели с целью достижения количественного математического описания пространственной динамики свертывания крови.</w:t>
      </w:r>
    </w:p>
    <w:p w:rsidR="00ED3DC2" w:rsidRPr="00B91878" w:rsidRDefault="00ED3DC2" w:rsidP="00FD466D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8" w:name="_Toc473544249"/>
      <w:r w:rsidRPr="00B91878">
        <w:rPr>
          <w:rFonts w:ascii="Times New Roman" w:hAnsi="Times New Roman"/>
          <w:color w:val="auto"/>
          <w:sz w:val="28"/>
          <w:lang w:val="ru-RU"/>
        </w:rPr>
        <w:lastRenderedPageBreak/>
        <w:t>Выводы</w:t>
      </w:r>
      <w:bookmarkEnd w:id="8"/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Показано, что концентрирование Авроры В на центромерах приводит к фосфорилированию удаленных субстратов на хроматине.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При воссоздании авто-активации киназы Авроры В in vitro обнаружены как цис- так и транс- компоненты.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In silico продемонстрированы бистабильность и гистерезис в спаренной системе киназы Аврора В и фосфатазы.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Показано, что в системе Аврора В-киназы и фосфотазы бистабильность и гистерезис, наблюдаемые in vitro, находятся в количественном согласии с теоретическими предсказаниями.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 xml:space="preserve">С помощью пространственно-временной in vitro модели свертывания продемонстрировано наличие принципиально различных механизмов работы антикоагулянтных препаратов разного типа: надропарин кальция, ривароксабан и дабигатран. 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Показана высокая чувствительность и информативность пространственно-временной in vitro модели свертывания при оценке эффективности антикоагулянтной профилактики в раннем послеоперационном периоде у женщин после операции кесарева сечения.</w:t>
      </w:r>
    </w:p>
    <w:p w:rsidR="00EC6DED" w:rsidRPr="00B91878" w:rsidRDefault="00EC6DED" w:rsidP="00EC6DED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Разработана и верифицирована упрощенная математическая модель системы свертывания.</w:t>
      </w:r>
    </w:p>
    <w:p w:rsidR="00ED3DC2" w:rsidRPr="00B91878" w:rsidRDefault="00ED3DC2" w:rsidP="004118C2">
      <w:pPr>
        <w:spacing w:line="360" w:lineRule="auto"/>
        <w:ind w:firstLine="709"/>
        <w:rPr>
          <w:sz w:val="24"/>
          <w:szCs w:val="24"/>
          <w:lang w:val="ru-RU"/>
        </w:rPr>
      </w:pPr>
      <w:r w:rsidRPr="00B91878">
        <w:rPr>
          <w:sz w:val="24"/>
          <w:szCs w:val="24"/>
          <w:lang w:val="ru-RU"/>
        </w:rPr>
        <w:br w:type="page"/>
      </w:r>
    </w:p>
    <w:p w:rsidR="00ED3DC2" w:rsidRPr="00B91878" w:rsidRDefault="00ED3DC2" w:rsidP="009E4076">
      <w:pPr>
        <w:pStyle w:val="Heading2"/>
        <w:spacing w:after="120"/>
        <w:rPr>
          <w:rFonts w:ascii="Times New Roman" w:hAnsi="Times New Roman"/>
          <w:color w:val="auto"/>
          <w:sz w:val="28"/>
          <w:szCs w:val="24"/>
          <w:lang w:val="ru-RU"/>
        </w:rPr>
      </w:pPr>
      <w:bookmarkStart w:id="9" w:name="_Toc473544250"/>
      <w:r w:rsidRPr="00B91878">
        <w:rPr>
          <w:rFonts w:ascii="Times New Roman" w:hAnsi="Times New Roman"/>
          <w:color w:val="auto"/>
          <w:sz w:val="28"/>
          <w:szCs w:val="24"/>
          <w:lang w:val="ru-RU"/>
        </w:rPr>
        <w:lastRenderedPageBreak/>
        <w:t>Список использованных источников</w:t>
      </w:r>
      <w:bookmarkEnd w:id="9"/>
    </w:p>
    <w:p w:rsidR="002D62E6" w:rsidRPr="00B91878" w:rsidRDefault="000905CD" w:rsidP="000905CD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Wiener N. Cybernetics. Sci Am. 1948 Nov;179(5):14-8.</w:t>
      </w:r>
    </w:p>
    <w:p w:rsidR="002D62E6" w:rsidRPr="00B91878" w:rsidRDefault="00C97C0B" w:rsidP="00C97C0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>A. M. Turing . The Chemical Basis of Morphogenesis Philosophical Transactions of the Royal Society of London. Series B, Biological Sciences, Vol. 237, No. 641, 1952, pp. 37-72.</w:t>
      </w:r>
    </w:p>
    <w:p w:rsidR="002D62E6" w:rsidRPr="00B91878" w:rsidRDefault="00C97C0B" w:rsidP="00C97C0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Cimini M, Fazel S, Fujii H, Zhou S, Tang G, Weisel RD, Li RK. The MRL mouse heart does not recover ventricular function after a myocardial infarction. </w:t>
      </w:r>
      <w:r w:rsidRPr="00B91878">
        <w:rPr>
          <w:sz w:val="24"/>
          <w:szCs w:val="24"/>
        </w:rPr>
        <w:t>Cardiovasc Pathol. 2008 Jan-Feb;17(1):32-9.</w:t>
      </w:r>
    </w:p>
    <w:p w:rsidR="002D62E6" w:rsidRPr="00B91878" w:rsidRDefault="00C97C0B" w:rsidP="00C97C0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Weaver BA, Cleveland DW. Does aneuploidy cause cancer? Curr Opin Cell Biol. 2006 Dec;18(6):658-67.</w:t>
      </w:r>
    </w:p>
    <w:p w:rsidR="002D62E6" w:rsidRPr="00B91878" w:rsidRDefault="00C97C0B" w:rsidP="00C97C0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Nicholson JM, Cimini D. Cancer karyotypes: survival of the fittest. Front Oncol. 2013 Jun 7;3:148.</w:t>
      </w:r>
    </w:p>
    <w:p w:rsidR="002D62E6" w:rsidRPr="00B91878" w:rsidRDefault="00FE0CE7" w:rsidP="00FE0CE7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Lampson MA, Renduchitala K, Khodjakov A, Kapoor TM. Correcting improper chromosome-spindle attachments during cell division. Nat Cell Biol. 2004 Mar;6(3):232-7.</w:t>
      </w:r>
    </w:p>
    <w:p w:rsidR="002D62E6" w:rsidRPr="00B91878" w:rsidRDefault="00894068" w:rsidP="00894068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Lobanova ES, Ataullakhanov FI. Unstable trigger waves induce various intricate dynamic regimes in a reaction-diffusion system of blood clotting. </w:t>
      </w:r>
      <w:r w:rsidRPr="00B91878">
        <w:rPr>
          <w:sz w:val="24"/>
          <w:szCs w:val="24"/>
        </w:rPr>
        <w:t>Phys Rev Lett. 2003 Sep 26;91(13):138301.</w:t>
      </w:r>
    </w:p>
    <w:p w:rsidR="002D62E6" w:rsidRPr="00B91878" w:rsidRDefault="00894068" w:rsidP="00894068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Lobanova ES, Ataullakhanov FI. Running pulses of complex shape in a reaction-diffusion model. </w:t>
      </w:r>
      <w:r w:rsidRPr="00B91878">
        <w:rPr>
          <w:sz w:val="24"/>
          <w:szCs w:val="24"/>
        </w:rPr>
        <w:t>Phys Rev Lett. 2004 Aug 27;93(9):098303.</w:t>
      </w:r>
    </w:p>
    <w:p w:rsidR="002D62E6" w:rsidRPr="00B91878" w:rsidRDefault="00AB3872" w:rsidP="00AB387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Атауллаханов Ф.И., Лобанова Е.С., Морозова О.Л., Шноль Э.Э., Ермакова Е.А., Бутылин А.А., Заикин А.Н. Сложные режимы распространения возбуждения и самоорганизации в модели свертывания крови. Успехи физических наук. 2007;177(1):87-104.</w:t>
      </w:r>
    </w:p>
    <w:p w:rsidR="002D62E6" w:rsidRPr="00B91878" w:rsidRDefault="00BD294D" w:rsidP="00BD294D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>Ataullakhanov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FI</w:t>
      </w:r>
      <w:r w:rsidRPr="00E54545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Dashkevich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NM</w:t>
      </w:r>
      <w:r w:rsidRPr="00E54545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Negrier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C</w:t>
      </w:r>
      <w:r w:rsidRPr="00E54545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Panteleev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MA</w:t>
      </w:r>
      <w:r w:rsidRPr="00E54545">
        <w:rPr>
          <w:sz w:val="24"/>
          <w:szCs w:val="24"/>
          <w:lang w:val="en-US"/>
        </w:rPr>
        <w:t xml:space="preserve">. </w:t>
      </w:r>
      <w:r w:rsidRPr="00B91878">
        <w:rPr>
          <w:sz w:val="24"/>
          <w:szCs w:val="24"/>
          <w:lang w:val="en-US"/>
        </w:rPr>
        <w:t>Factor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XI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and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traveling</w:t>
      </w:r>
      <w:r w:rsidRPr="00E54545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 xml:space="preserve">waves: the key to understanding coagulation in hemophilia? </w:t>
      </w:r>
      <w:r w:rsidRPr="00B91878">
        <w:rPr>
          <w:sz w:val="24"/>
          <w:szCs w:val="24"/>
        </w:rPr>
        <w:t>Expert Rev Hematol. 2013 Apr;6(2):111-3.</w:t>
      </w:r>
    </w:p>
    <w:p w:rsidR="002D62E6" w:rsidRPr="00B91878" w:rsidRDefault="00406D40" w:rsidP="00406D40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Dashkevich NM, Ovanesov MV, Balandina AN, Karamzin SS, Shestakov PI, Soshitova NP, Tokarev AA, Panteleev MA, Ataullakhanov FI. Thrombin activity propagates in space during blood coagulation as an excitation wave. </w:t>
      </w:r>
      <w:r w:rsidRPr="00B91878">
        <w:rPr>
          <w:sz w:val="24"/>
          <w:szCs w:val="24"/>
        </w:rPr>
        <w:t>Biophys J. 2012 Nov 21;103(10):2233-40.</w:t>
      </w:r>
    </w:p>
    <w:p w:rsidR="002D62E6" w:rsidRPr="00B91878" w:rsidRDefault="0022370F" w:rsidP="0022370F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Carmena M, Wheelock M, Funabiki H, Earnshaw WC. 2012. The chromosomal passenger complex (CPC): from easy rider to the godfather of mitosis. Nature Reviews Molecular Cell Biology 13:789–803.</w:t>
      </w:r>
    </w:p>
    <w:p w:rsidR="002D62E6" w:rsidRPr="00B91878" w:rsidRDefault="0022370F" w:rsidP="0022370F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lastRenderedPageBreak/>
        <w:t>Fuller BG, Lampson MA, Foley EA, Rosasco-Nitcher S, Le KV, Tobelmann P, Brautigan DL, Stukenberg PT, Kapoor TM. 2008. Midzone activation of aurora b in anaphase produces an intracellular phosphorylation gradient. Nature 453:1132–1136.</w:t>
      </w:r>
    </w:p>
    <w:p w:rsidR="002D62E6" w:rsidRPr="00B91878" w:rsidRDefault="009E1E6E" w:rsidP="009E1E6E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Tan L, Kapoor TM. 2011. Examining the dynamics of chromosomal passenger complex (CPC)-dependent phosphorylation during cell division. Proceedings of the National Academy of Sciences of the United States of America 108:16675–16680.</w:t>
      </w:r>
    </w:p>
    <w:p w:rsidR="002D62E6" w:rsidRPr="00B91878" w:rsidRDefault="009E1E6E" w:rsidP="009E1E6E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Keating P, Rachidi N, Tanaka TU, Stark MJR. 2009. Ipl1-dependent phosphorylation of Dam1 is reduced by tension applied on kinetochores. Journal of Cell Science 122:4375–4382.</w:t>
      </w:r>
    </w:p>
    <w:p w:rsidR="002D62E6" w:rsidRPr="00B91878" w:rsidRDefault="009E1E6E" w:rsidP="009E1E6E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Liu D, Vader G, Vromans MJM, Lampson MA, Lens SMA. 2009. Sensing chromosome bi-orientation by spatial separation of aurora b kinase from kinetochore substrates. Science 323:1350–1353.</w:t>
      </w:r>
    </w:p>
    <w:p w:rsidR="002D62E6" w:rsidRPr="00B91878" w:rsidRDefault="00925931" w:rsidP="00925931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 w:rsidRPr="00B91878">
        <w:rPr>
          <w:sz w:val="24"/>
          <w:lang w:val="en-US"/>
        </w:rPr>
        <w:t xml:space="preserve">Welburn JPI, Vleugel M, Liu D, Yates JR, Lampson MA, Fukagawa T, Cheeseman IM. 2010. Aurora B phosphorylates spatially distinct targets to differentially regulate the kinetochore-microtubule interface. </w:t>
      </w:r>
      <w:r w:rsidRPr="00B91878">
        <w:rPr>
          <w:sz w:val="24"/>
        </w:rPr>
        <w:t>Molecular Cell 38:383–392.</w:t>
      </w:r>
    </w:p>
    <w:p w:rsidR="002D62E6" w:rsidRPr="00B91878" w:rsidRDefault="00925931" w:rsidP="00925931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DeLuca KF, Lens SMA, DeLuca JG. 2011. Temporal changes in Hec1 phosphorylation control kinetochore-microtubule attachment stability during mitosis. Journal of Cell Science 124:622–634.</w:t>
      </w:r>
    </w:p>
    <w:p w:rsidR="002D62E6" w:rsidRPr="00B91878" w:rsidRDefault="00FD49DE" w:rsidP="00FD49D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 w:rsidRPr="00B91878">
        <w:rPr>
          <w:sz w:val="24"/>
          <w:lang w:val="en-US"/>
        </w:rPr>
        <w:t>Suzuki A, Badger BL, Wan X, DeLuca JG, Salmon ED. 2014. The architecture of CCAN proteins creates a structural integrity to resist spindle forces and achieve proper intrakinetochore stretch. Developmental Cell 30: 717–730.</w:t>
      </w:r>
    </w:p>
    <w:p w:rsidR="002D62E6" w:rsidRPr="00B91878" w:rsidRDefault="00B91878" w:rsidP="00B91878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E54545">
        <w:rPr>
          <w:sz w:val="24"/>
          <w:lang w:val="en-US"/>
        </w:rPr>
        <w:t xml:space="preserve">. </w:t>
      </w:r>
      <w:r w:rsidRPr="00B91878">
        <w:rPr>
          <w:sz w:val="24"/>
          <w:lang w:val="en-US"/>
        </w:rPr>
        <w:t>Tension sensing by aurora b kinase is independent of survivin-based centromere localization. Nature 497:118–121.</w:t>
      </w:r>
    </w:p>
    <w:p w:rsidR="002D62E6" w:rsidRPr="00B91878" w:rsidRDefault="00775D6A" w:rsidP="00775D6A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Sessa F, Mapelli M, Ciferri C, Tarricone C, Areces LB, Schneider TR, Stukenberg PT, Musacchio A. 2005. Mechanism of aurora b activation by INCENP and inhibition by hesperadin. Molecular Cell 18:379–391.</w:t>
      </w:r>
    </w:p>
    <w:p w:rsidR="002D62E6" w:rsidRPr="00B91878" w:rsidRDefault="00FD49DE" w:rsidP="00FD49D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 w:rsidRPr="00B91878">
        <w:rPr>
          <w:sz w:val="24"/>
          <w:lang w:val="en-US"/>
        </w:rPr>
        <w:t>Putyrski M, Schultz C. 2012. Protein translocation as a tool: the current rapamycin story. FEBS Letters 586:2097–2105.</w:t>
      </w:r>
    </w:p>
    <w:p w:rsidR="002D62E6" w:rsidRPr="00B91878" w:rsidRDefault="00350D5E" w:rsidP="00350D5E">
      <w:pPr>
        <w:pStyle w:val="ListParagraph"/>
        <w:numPr>
          <w:ilvl w:val="0"/>
          <w:numId w:val="7"/>
        </w:numPr>
        <w:spacing w:line="360" w:lineRule="auto"/>
        <w:rPr>
          <w:sz w:val="24"/>
          <w:lang w:val="en-US"/>
        </w:rPr>
      </w:pPr>
      <w:r w:rsidRPr="00B91878">
        <w:rPr>
          <w:sz w:val="24"/>
          <w:lang w:val="en-US"/>
        </w:rPr>
        <w:t>Mayer TU, Kapoor TM, Haggarty SJ, King RW, Schreiber SL, Mitchison TJ. 1999. Small molecule inhibitor of mitotic spindle bipolarity identified in a phenotype-based screen. Science 286:971–974.</w:t>
      </w:r>
    </w:p>
    <w:p w:rsidR="00350D5E" w:rsidRPr="00B91878" w:rsidRDefault="00350D5E" w:rsidP="00350D5E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rPr>
          <w:lang w:val="en-US"/>
        </w:rPr>
      </w:pPr>
      <w:r w:rsidRPr="00B91878">
        <w:rPr>
          <w:sz w:val="24"/>
          <w:lang w:val="en-US"/>
        </w:rPr>
        <w:lastRenderedPageBreak/>
        <w:t>Wang E, Ballister ER, Lampson MA. 2011. Aurora b dynamics at centromeres create a diffusion-based phosphorylation gradient. The Journal of Cell Biology 194:539–549.</w:t>
      </w:r>
    </w:p>
    <w:p w:rsidR="00AC2E5B" w:rsidRPr="00B91878" w:rsidRDefault="00350D5E" w:rsidP="00350D5E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rPr>
          <w:lang w:val="en-US"/>
        </w:rPr>
      </w:pPr>
      <w:r w:rsidRPr="00B91878">
        <w:rPr>
          <w:lang w:val="en-US"/>
        </w:rPr>
        <w:t>Rosasco-Nitcher SE, Lan W, Khorasanizadeh S, Stukenberg PT. 2008. Centromeric aurora-b activation requires TD-60, microtubules, and substrate priming phosphorylation. Science 319:469–472.</w:t>
      </w:r>
    </w:p>
    <w:sectPr w:rsidR="00AC2E5B" w:rsidRPr="00B91878">
      <w:footerReference w:type="default" r:id="rId20"/>
      <w:headerReference w:type="first" r:id="rId21"/>
      <w:footerReference w:type="first" r:id="rId22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1D0" w:rsidRDefault="00DF011F">
      <w:r>
        <w:separator/>
      </w:r>
    </w:p>
  </w:endnote>
  <w:endnote w:type="continuationSeparator" w:id="0">
    <w:p w:rsidR="00F921D0" w:rsidRDefault="00DF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ED3DC2">
    <w:pPr>
      <w:pStyle w:val="Footer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00633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:rsidR="00FF6752" w:rsidRDefault="001714A1">
                    <w:pPr>
                      <w:pStyle w:val="Footer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00633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F6752" w:rsidRDefault="008006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ED3DC2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800633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:rsidR="00FF6752" w:rsidRDefault="001714A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800633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1D0" w:rsidRDefault="00DF011F">
      <w:r>
        <w:separator/>
      </w:r>
    </w:p>
  </w:footnote>
  <w:footnote w:type="continuationSeparator" w:id="0">
    <w:p w:rsidR="00F921D0" w:rsidRDefault="00DF0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8006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5037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110FBC"/>
    <w:multiLevelType w:val="hybridMultilevel"/>
    <w:tmpl w:val="BBF06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B6082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846AC"/>
    <w:multiLevelType w:val="hybridMultilevel"/>
    <w:tmpl w:val="529EF52C"/>
    <w:lvl w:ilvl="0" w:tplc="48F42E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12743"/>
    <w:multiLevelType w:val="multilevel"/>
    <w:tmpl w:val="7491274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34FB1"/>
    <w:rsid w:val="000905CD"/>
    <w:rsid w:val="000D0EF3"/>
    <w:rsid w:val="00117870"/>
    <w:rsid w:val="001714A1"/>
    <w:rsid w:val="00185C19"/>
    <w:rsid w:val="0022370F"/>
    <w:rsid w:val="002D62E6"/>
    <w:rsid w:val="002D678E"/>
    <w:rsid w:val="0030530C"/>
    <w:rsid w:val="00305B67"/>
    <w:rsid w:val="00315DDD"/>
    <w:rsid w:val="00350D5E"/>
    <w:rsid w:val="003E34CB"/>
    <w:rsid w:val="00406D40"/>
    <w:rsid w:val="004118C2"/>
    <w:rsid w:val="0042459A"/>
    <w:rsid w:val="00452017"/>
    <w:rsid w:val="004B37A7"/>
    <w:rsid w:val="004D79F3"/>
    <w:rsid w:val="005C73F6"/>
    <w:rsid w:val="005D3C4E"/>
    <w:rsid w:val="005E35FF"/>
    <w:rsid w:val="00673B60"/>
    <w:rsid w:val="00680908"/>
    <w:rsid w:val="00694C37"/>
    <w:rsid w:val="006D3911"/>
    <w:rsid w:val="006F4F2B"/>
    <w:rsid w:val="00713C22"/>
    <w:rsid w:val="00720022"/>
    <w:rsid w:val="007377D7"/>
    <w:rsid w:val="0074390C"/>
    <w:rsid w:val="00775D6A"/>
    <w:rsid w:val="007A5B05"/>
    <w:rsid w:val="00800633"/>
    <w:rsid w:val="008419EA"/>
    <w:rsid w:val="00894068"/>
    <w:rsid w:val="008A48E4"/>
    <w:rsid w:val="00925931"/>
    <w:rsid w:val="00996463"/>
    <w:rsid w:val="0099772B"/>
    <w:rsid w:val="009C5790"/>
    <w:rsid w:val="009D3A0D"/>
    <w:rsid w:val="009E1E6E"/>
    <w:rsid w:val="009E4076"/>
    <w:rsid w:val="00A076C1"/>
    <w:rsid w:val="00A0777A"/>
    <w:rsid w:val="00AB3872"/>
    <w:rsid w:val="00AC2E5B"/>
    <w:rsid w:val="00AF495D"/>
    <w:rsid w:val="00B023E5"/>
    <w:rsid w:val="00B644A1"/>
    <w:rsid w:val="00B91878"/>
    <w:rsid w:val="00B96BAD"/>
    <w:rsid w:val="00BB6622"/>
    <w:rsid w:val="00BD294D"/>
    <w:rsid w:val="00C752A4"/>
    <w:rsid w:val="00C97C0B"/>
    <w:rsid w:val="00D131E6"/>
    <w:rsid w:val="00DB4377"/>
    <w:rsid w:val="00DC04DB"/>
    <w:rsid w:val="00DF011F"/>
    <w:rsid w:val="00E54545"/>
    <w:rsid w:val="00EA0A62"/>
    <w:rsid w:val="00EC6DED"/>
    <w:rsid w:val="00ED3DC2"/>
    <w:rsid w:val="00F04A0E"/>
    <w:rsid w:val="00F669D1"/>
    <w:rsid w:val="00F921D0"/>
    <w:rsid w:val="00FD466D"/>
    <w:rsid w:val="00FD49DE"/>
    <w:rsid w:val="00FE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66C5F3"/>
  <w15:docId w15:val="{0EB31A3C-4BB1-4630-8908-6FDB0E7F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BodyText">
    <w:name w:val="Body Text"/>
    <w:basedOn w:val="Normal"/>
    <w:link w:val="BodyTextChar"/>
    <w:rsid w:val="00ED3DC2"/>
    <w:pPr>
      <w:jc w:val="left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TOC2">
    <w:name w:val="toc 2"/>
    <w:basedOn w:val="Normal"/>
    <w:next w:val="Normal"/>
    <w:uiPriority w:val="39"/>
    <w:unhideWhenUsed/>
    <w:rsid w:val="00ED3DC2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D3D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D3DC2"/>
    <w:rPr>
      <w:color w:val="0563C1"/>
      <w:u w:val="single"/>
    </w:rPr>
  </w:style>
  <w:style w:type="paragraph" w:customStyle="1" w:styleId="1">
    <w:name w:val="Абзац списка1"/>
    <w:basedOn w:val="Normal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0">
    <w:name w:val="Заголовок оглавления1"/>
    <w:basedOn w:val="Heading1"/>
    <w:next w:val="Normal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Heading1Char">
    <w:name w:val="Heading 1 Char"/>
    <w:basedOn w:val="DefaultParagraphFont"/>
    <w:link w:val="Heading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qFormat/>
    <w:rsid w:val="003E34CB"/>
    <w:pPr>
      <w:ind w:left="720"/>
      <w:contextualSpacing/>
    </w:pPr>
    <w:rPr>
      <w:lang w:val="ru-RU"/>
    </w:rPr>
  </w:style>
  <w:style w:type="paragraph" w:styleId="Bibliography">
    <w:name w:val="Bibliography"/>
    <w:basedOn w:val="Normal"/>
    <w:next w:val="Normal"/>
    <w:uiPriority w:val="37"/>
    <w:semiHidden/>
    <w:unhideWhenUsed/>
    <w:rsid w:val="00AC2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23</Pages>
  <Words>5699</Words>
  <Characters>32485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U1</cp:lastModifiedBy>
  <cp:revision>66</cp:revision>
  <dcterms:created xsi:type="dcterms:W3CDTF">2017-01-27T10:53:00Z</dcterms:created>
  <dcterms:modified xsi:type="dcterms:W3CDTF">2017-01-30T20:09:00Z</dcterms:modified>
</cp:coreProperties>
</file>