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Федеральное государственное бюджетное учреждение науки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  <w:r w:rsidRPr="00ED3DC2">
        <w:rPr>
          <w:b/>
          <w:lang w:val="ru-RU"/>
        </w:rPr>
        <w:t>Центр теоретических проблем Физико-химической фармакологии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</w:rPr>
      </w:pPr>
      <w:r w:rsidRPr="00ED3DC2">
        <w:rPr>
          <w:b/>
        </w:rPr>
        <w:t>Российской академии наук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</w:rPr>
      </w:pPr>
    </w:p>
    <w:tbl>
      <w:tblPr>
        <w:tblW w:w="946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1440"/>
        <w:gridCol w:w="3888"/>
      </w:tblGrid>
      <w:tr w:rsidR="00ED3DC2" w:rsidRPr="00B537E3" w:rsidTr="00CD00B8">
        <w:trPr>
          <w:trHeight w:val="2506"/>
        </w:trPr>
        <w:tc>
          <w:tcPr>
            <w:tcW w:w="4140" w:type="dxa"/>
          </w:tcPr>
          <w:p w:rsidR="00ED3DC2" w:rsidRPr="00B358E2" w:rsidRDefault="00ED3DC2" w:rsidP="00CD00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358E2">
              <w:rPr>
                <w:sz w:val="24"/>
                <w:szCs w:val="24"/>
              </w:rPr>
              <w:t xml:space="preserve">УДК: </w:t>
            </w:r>
            <w:r w:rsidR="003831A0" w:rsidRPr="00B358E2">
              <w:rPr>
                <w:sz w:val="24"/>
                <w:szCs w:val="24"/>
              </w:rPr>
              <w:t xml:space="preserve">577.3.01    </w:t>
            </w:r>
          </w:p>
          <w:p w:rsidR="003831A0" w:rsidRPr="00B358E2" w:rsidRDefault="003831A0" w:rsidP="00CD00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3831A0" w:rsidRPr="00B358E2" w:rsidRDefault="003831A0" w:rsidP="00CD00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358E2">
              <w:rPr>
                <w:sz w:val="24"/>
                <w:szCs w:val="24"/>
              </w:rPr>
              <w:t xml:space="preserve">№ ГР №  0120.0  950252  </w:t>
            </w:r>
          </w:p>
          <w:p w:rsidR="00ED3DC2" w:rsidRPr="00B537E3" w:rsidRDefault="00B537E3" w:rsidP="00CD00B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185C19">
              <w:rPr>
                <w:color w:val="000000"/>
                <w:sz w:val="24"/>
                <w:szCs w:val="24"/>
              </w:rPr>
              <w:t>Инв. №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3831A0">
              <w:rPr>
                <w:sz w:val="24"/>
                <w:szCs w:val="24"/>
                <w:lang w:val="ru-RU"/>
              </w:rPr>
              <w:t>0131-2014-0001</w:t>
            </w:r>
          </w:p>
          <w:p w:rsidR="00ED3DC2" w:rsidRPr="00B358E2" w:rsidRDefault="00ED3DC2" w:rsidP="00CD00B8">
            <w:pPr>
              <w:spacing w:line="360" w:lineRule="auto"/>
              <w:ind w:firstLine="540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ED3DC2" w:rsidRPr="00B358E2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358E2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358E2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  <w:p w:rsidR="00ED3DC2" w:rsidRPr="00B358E2" w:rsidRDefault="00ED3DC2" w:rsidP="00CD00B8">
            <w:pPr>
              <w:spacing w:line="360" w:lineRule="auto"/>
              <w:ind w:firstLine="540"/>
              <w:jc w:val="center"/>
              <w:rPr>
                <w:sz w:val="24"/>
                <w:szCs w:val="24"/>
              </w:rPr>
            </w:pPr>
          </w:p>
        </w:tc>
        <w:tc>
          <w:tcPr>
            <w:tcW w:w="3888" w:type="dxa"/>
          </w:tcPr>
          <w:p w:rsidR="00ED3DC2" w:rsidRPr="00B358E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358E2">
              <w:rPr>
                <w:lang w:val="ru-RU"/>
              </w:rPr>
              <w:t>УТВЕРЖДАЮ</w:t>
            </w:r>
          </w:p>
          <w:p w:rsidR="00ED3DC2" w:rsidRPr="00B358E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358E2">
              <w:rPr>
                <w:lang w:val="ru-RU"/>
              </w:rPr>
              <w:t>Директор</w:t>
            </w:r>
          </w:p>
          <w:p w:rsidR="00ED3DC2" w:rsidRPr="00B358E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</w:p>
          <w:p w:rsidR="00ED3DC2" w:rsidRPr="00B358E2" w:rsidRDefault="00ED3DC2" w:rsidP="00CD00B8">
            <w:pPr>
              <w:spacing w:line="360" w:lineRule="auto"/>
              <w:ind w:firstLine="540"/>
              <w:rPr>
                <w:lang w:val="ru-RU"/>
              </w:rPr>
            </w:pPr>
            <w:r w:rsidRPr="00B358E2">
              <w:rPr>
                <w:lang w:val="ru-RU"/>
              </w:rPr>
              <w:t>_________Ф.И. Атауллаханов</w:t>
            </w:r>
          </w:p>
          <w:p w:rsidR="00ED3DC2" w:rsidRPr="00B358E2" w:rsidRDefault="00ED3DC2" w:rsidP="00ED3DC2">
            <w:pPr>
              <w:spacing w:line="360" w:lineRule="auto"/>
              <w:ind w:firstLine="540"/>
              <w:rPr>
                <w:lang w:val="ru-RU"/>
              </w:rPr>
            </w:pPr>
            <w:r w:rsidRPr="00B358E2">
              <w:rPr>
                <w:lang w:val="ru-RU"/>
              </w:rPr>
              <w:t>«___»</w:t>
            </w:r>
            <w:r w:rsidRPr="00B358E2">
              <w:t> </w:t>
            </w:r>
            <w:r w:rsidRPr="00B358E2">
              <w:rPr>
                <w:lang w:val="ru-RU"/>
              </w:rPr>
              <w:t>______________</w:t>
            </w:r>
            <w:r w:rsidRPr="00B358E2">
              <w:t> </w:t>
            </w:r>
            <w:r w:rsidRPr="00B358E2">
              <w:rPr>
                <w:lang w:val="ru-RU"/>
              </w:rPr>
              <w:t>2016 г.</w:t>
            </w:r>
          </w:p>
        </w:tc>
      </w:tr>
    </w:tbl>
    <w:p w:rsidR="00ED3DC2" w:rsidRPr="00ED3DC2" w:rsidRDefault="00ED3DC2" w:rsidP="00ED3DC2">
      <w:pPr>
        <w:tabs>
          <w:tab w:val="left" w:pos="7088"/>
        </w:tabs>
        <w:spacing w:line="360" w:lineRule="auto"/>
        <w:ind w:firstLine="7088"/>
        <w:rPr>
          <w:lang w:val="ru-RU"/>
        </w:rPr>
      </w:pPr>
      <w:r w:rsidRPr="00ED3DC2">
        <w:rPr>
          <w:lang w:val="ru-RU"/>
        </w:rPr>
        <w:t>М.П.</w:t>
      </w:r>
    </w:p>
    <w:p w:rsidR="00ED3DC2" w:rsidRPr="00ED3DC2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6762B0" w:rsidRPr="00D6734C" w:rsidRDefault="006762B0" w:rsidP="006762B0">
      <w:pPr>
        <w:pStyle w:val="zag3"/>
        <w:spacing w:before="0" w:after="0"/>
        <w:outlineLvl w:val="4"/>
        <w:rPr>
          <w:lang w:val="ru-RU"/>
        </w:rPr>
      </w:pPr>
      <w:r w:rsidRPr="00D6734C">
        <w:rPr>
          <w:lang w:val="ru-RU"/>
        </w:rPr>
        <w:t xml:space="preserve">ОТЧЕТ </w:t>
      </w:r>
    </w:p>
    <w:p w:rsidR="006762B0" w:rsidRPr="00D6734C" w:rsidRDefault="006762B0" w:rsidP="006762B0">
      <w:pPr>
        <w:pStyle w:val="zag3"/>
        <w:spacing w:before="0" w:after="0"/>
        <w:outlineLvl w:val="4"/>
        <w:rPr>
          <w:lang w:val="ru-RU"/>
        </w:rPr>
      </w:pPr>
      <w:r w:rsidRPr="00D6734C">
        <w:rPr>
          <w:lang w:val="ru-RU"/>
        </w:rPr>
        <w:t xml:space="preserve">О НАУЧНО-ИССЛЕДОВАТЕЛЬСКОЙ РАБОТЕ </w:t>
      </w:r>
    </w:p>
    <w:p w:rsidR="006762B0" w:rsidRPr="00D6734C" w:rsidRDefault="006762B0" w:rsidP="006762B0">
      <w:pPr>
        <w:pStyle w:val="zag3"/>
        <w:outlineLvl w:val="4"/>
        <w:rPr>
          <w:lang w:val="ru-RU"/>
        </w:rPr>
      </w:pPr>
      <w:r w:rsidRPr="00D6734C">
        <w:rPr>
          <w:lang w:val="ru-RU"/>
        </w:rPr>
        <w:t xml:space="preserve">В рамках Программы фундаментальных научных исследований государственных академий </w:t>
      </w:r>
      <w:r>
        <w:rPr>
          <w:lang w:val="ru-RU"/>
        </w:rPr>
        <w:t xml:space="preserve">наук </w:t>
      </w:r>
      <w:r w:rsidRPr="00D6734C">
        <w:rPr>
          <w:lang w:val="ru-RU"/>
        </w:rPr>
        <w:t>на 20</w:t>
      </w:r>
      <w:r>
        <w:rPr>
          <w:lang w:val="ru-RU"/>
        </w:rPr>
        <w:t>13-2020</w:t>
      </w:r>
      <w:r w:rsidRPr="00D6734C">
        <w:rPr>
          <w:lang w:val="ru-RU"/>
        </w:rPr>
        <w:t xml:space="preserve"> годы</w:t>
      </w:r>
    </w:p>
    <w:p w:rsidR="006762B0" w:rsidRPr="00D6734C" w:rsidRDefault="006762B0" w:rsidP="006762B0">
      <w:pPr>
        <w:pStyle w:val="zag3"/>
        <w:outlineLvl w:val="4"/>
        <w:rPr>
          <w:lang w:val="ru-RU"/>
        </w:rPr>
      </w:pPr>
      <w:r w:rsidRPr="00D6734C">
        <w:rPr>
          <w:lang w:val="ru-RU"/>
        </w:rPr>
        <w:t xml:space="preserve">по теме: </w:t>
      </w:r>
    </w:p>
    <w:p w:rsidR="006762B0" w:rsidRPr="006762B0" w:rsidRDefault="006762B0" w:rsidP="006762B0">
      <w:pPr>
        <w:jc w:val="center"/>
        <w:rPr>
          <w:b/>
          <w:iCs/>
          <w:sz w:val="24"/>
          <w:szCs w:val="24"/>
          <w:lang w:val="ru-RU"/>
        </w:rPr>
      </w:pPr>
      <w:r>
        <w:rPr>
          <w:b/>
          <w:iCs/>
          <w:sz w:val="24"/>
          <w:szCs w:val="24"/>
          <w:lang w:val="ru-RU"/>
        </w:rPr>
        <w:t>65.1 Изучение биофизических и молекулярных механизмов регуляции движения хромосом в процессах деления клеток, тромбообразования, разработка новых методов диагностики нарушений свертывания крови и создание нового поколения плазмозамещающих противосвертывающих средств</w:t>
      </w:r>
    </w:p>
    <w:p w:rsidR="00ED3DC2" w:rsidRPr="00ED3DC2" w:rsidRDefault="00ED3DC2" w:rsidP="00834576">
      <w:pPr>
        <w:spacing w:line="360" w:lineRule="auto"/>
        <w:jc w:val="center"/>
        <w:rPr>
          <w:b/>
          <w:lang w:val="ru-RU"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b/>
          <w:lang w:val="ru-RU"/>
        </w:rPr>
      </w:pPr>
    </w:p>
    <w:p w:rsidR="00ED3DC2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2037CE" w:rsidRPr="00ED3DC2" w:rsidRDefault="002037CE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pStyle w:val="1"/>
        <w:spacing w:line="360" w:lineRule="auto"/>
        <w:ind w:left="0" w:firstLine="540"/>
        <w:jc w:val="center"/>
        <w:rPr>
          <w:rFonts w:eastAsia="Calibri"/>
          <w:lang w:val="ru-RU"/>
        </w:rPr>
      </w:pPr>
    </w:p>
    <w:p w:rsidR="00ED3DC2" w:rsidRPr="00ED3DC2" w:rsidRDefault="00ED3DC2" w:rsidP="00ED3DC2">
      <w:pPr>
        <w:spacing w:line="360" w:lineRule="auto"/>
        <w:ind w:firstLine="540"/>
        <w:jc w:val="center"/>
        <w:rPr>
          <w:lang w:val="ru-RU"/>
        </w:rPr>
      </w:pPr>
    </w:p>
    <w:p w:rsidR="00B358E2" w:rsidRPr="00D6734C" w:rsidRDefault="00B358E2" w:rsidP="00B358E2">
      <w:pPr>
        <w:jc w:val="right"/>
        <w:rPr>
          <w:rFonts w:eastAsia="Calibri"/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>Обсуждено и утверждено</w:t>
      </w:r>
      <w:r w:rsidRPr="00D6734C">
        <w:rPr>
          <w:sz w:val="24"/>
          <w:szCs w:val="24"/>
          <w:lang w:val="ru-RU"/>
        </w:rPr>
        <w:t xml:space="preserve"> </w:t>
      </w:r>
      <w:r w:rsidRPr="00D6734C">
        <w:rPr>
          <w:rFonts w:eastAsia="Calibri"/>
          <w:sz w:val="24"/>
          <w:szCs w:val="24"/>
          <w:lang w:val="ru-RU"/>
        </w:rPr>
        <w:t>на Ученом совете ЦТПФХФ РАН</w:t>
      </w:r>
    </w:p>
    <w:p w:rsidR="00B358E2" w:rsidRPr="00222813" w:rsidRDefault="00B358E2" w:rsidP="00B358E2">
      <w:pPr>
        <w:jc w:val="right"/>
        <w:rPr>
          <w:sz w:val="24"/>
          <w:szCs w:val="24"/>
          <w:lang w:val="ru-RU"/>
        </w:rPr>
      </w:pPr>
      <w:r w:rsidRPr="00D6734C">
        <w:rPr>
          <w:rFonts w:eastAsia="Calibri"/>
          <w:sz w:val="24"/>
          <w:szCs w:val="24"/>
          <w:lang w:val="ru-RU"/>
        </w:rPr>
        <w:t xml:space="preserve"> </w:t>
      </w:r>
      <w:r w:rsidRPr="00222813">
        <w:rPr>
          <w:rFonts w:eastAsia="Calibri"/>
          <w:sz w:val="24"/>
          <w:szCs w:val="24"/>
          <w:lang w:val="ru-RU"/>
        </w:rPr>
        <w:t xml:space="preserve">Протокол № </w:t>
      </w:r>
      <w:r>
        <w:rPr>
          <w:rFonts w:eastAsia="Calibri"/>
          <w:sz w:val="24"/>
          <w:szCs w:val="24"/>
          <w:lang w:val="ru-RU"/>
        </w:rPr>
        <w:t>10</w:t>
      </w:r>
      <w:r w:rsidRPr="00222813">
        <w:rPr>
          <w:rFonts w:eastAsia="Calibri"/>
          <w:sz w:val="24"/>
          <w:szCs w:val="24"/>
          <w:lang w:val="ru-RU"/>
        </w:rPr>
        <w:t xml:space="preserve"> от </w:t>
      </w:r>
      <w:r>
        <w:rPr>
          <w:rFonts w:eastAsia="Calibri"/>
          <w:sz w:val="24"/>
          <w:szCs w:val="24"/>
          <w:lang w:val="ru-RU"/>
        </w:rPr>
        <w:t>30</w:t>
      </w:r>
      <w:r w:rsidRPr="00222813">
        <w:rPr>
          <w:rFonts w:eastAsia="Calibri"/>
          <w:sz w:val="24"/>
          <w:szCs w:val="24"/>
          <w:lang w:val="ru-RU"/>
        </w:rPr>
        <w:t>.1</w:t>
      </w:r>
      <w:r>
        <w:rPr>
          <w:rFonts w:eastAsia="Calibri"/>
          <w:sz w:val="24"/>
          <w:szCs w:val="24"/>
          <w:lang w:val="ru-RU"/>
        </w:rPr>
        <w:t>1</w:t>
      </w:r>
      <w:r w:rsidRPr="00222813">
        <w:rPr>
          <w:rFonts w:eastAsia="Calibri"/>
          <w:sz w:val="24"/>
          <w:szCs w:val="24"/>
          <w:lang w:val="ru-RU"/>
        </w:rPr>
        <w:t>.201</w:t>
      </w:r>
      <w:r>
        <w:rPr>
          <w:sz w:val="24"/>
          <w:szCs w:val="24"/>
          <w:lang w:val="ru-RU"/>
        </w:rPr>
        <w:t>6</w:t>
      </w:r>
    </w:p>
    <w:p w:rsidR="00ED3DC2" w:rsidRPr="005E35FF" w:rsidRDefault="00ED3DC2" w:rsidP="00ED3DC2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ED3DC2" w:rsidRDefault="00ED3DC2" w:rsidP="00ED3DC2">
      <w:pPr>
        <w:pStyle w:val="1"/>
        <w:spacing w:line="360" w:lineRule="auto"/>
        <w:ind w:left="0" w:firstLine="540"/>
        <w:jc w:val="both"/>
        <w:rPr>
          <w:i/>
          <w:lang w:val="ru-RU"/>
        </w:rPr>
      </w:pPr>
    </w:p>
    <w:p w:rsidR="00ED3DC2" w:rsidRPr="00305B67" w:rsidRDefault="00ED3DC2" w:rsidP="00ED3DC2">
      <w:pPr>
        <w:pStyle w:val="1"/>
        <w:spacing w:line="360" w:lineRule="auto"/>
        <w:ind w:left="0" w:firstLine="540"/>
        <w:jc w:val="center"/>
        <w:rPr>
          <w:lang w:val="ru-RU"/>
        </w:rPr>
      </w:pPr>
      <w:r w:rsidRPr="00ED3DC2">
        <w:rPr>
          <w:lang w:val="ru-RU"/>
        </w:rPr>
        <w:t>Москва 201</w:t>
      </w:r>
      <w:r w:rsidRPr="00305B67">
        <w:rPr>
          <w:lang w:val="ru-RU"/>
        </w:rPr>
        <w:t>6</w:t>
      </w:r>
    </w:p>
    <w:p w:rsidR="00ED3DC2" w:rsidRPr="00BF340D" w:rsidRDefault="00ED3DC2" w:rsidP="00ED3DC2">
      <w:pPr>
        <w:spacing w:after="160" w:line="259" w:lineRule="auto"/>
        <w:jc w:val="left"/>
        <w:rPr>
          <w:lang w:val="ru-RU"/>
        </w:rPr>
      </w:pPr>
      <w:r w:rsidRPr="00BF340D">
        <w:rPr>
          <w:lang w:val="ru-RU"/>
        </w:rPr>
        <w:br w:type="page"/>
      </w:r>
    </w:p>
    <w:p w:rsidR="00305B67" w:rsidRPr="00BF340D" w:rsidRDefault="00305B67" w:rsidP="00305B67">
      <w:pPr>
        <w:pageBreakBefore/>
        <w:jc w:val="center"/>
        <w:rPr>
          <w:sz w:val="24"/>
          <w:szCs w:val="24"/>
          <w:lang w:val="ru-RU"/>
        </w:rPr>
      </w:pPr>
      <w:r w:rsidRPr="00BF340D">
        <w:rPr>
          <w:sz w:val="24"/>
          <w:szCs w:val="24"/>
          <w:lang w:val="ru-RU"/>
        </w:rPr>
        <w:lastRenderedPageBreak/>
        <w:t>СПИСОК ИСПОЛНИТЕЛЕЙ</w:t>
      </w:r>
    </w:p>
    <w:p w:rsidR="00305B67" w:rsidRPr="00BF340D" w:rsidRDefault="00305B67" w:rsidP="00305B67">
      <w:pPr>
        <w:jc w:val="center"/>
        <w:rPr>
          <w:sz w:val="24"/>
          <w:szCs w:val="24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Руково</w:t>
      </w:r>
      <w:r w:rsidR="00B358E2">
        <w:rPr>
          <w:sz w:val="24"/>
          <w:lang w:val="ru-RU"/>
        </w:rPr>
        <w:t>дитель, член-корр. РАН, д.б.н.</w:t>
      </w:r>
      <w:r w:rsidR="00B358E2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Атауллаханов Ф.И.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Руководитель, д.ф-м.н.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Пантелеев М.А.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Руководитель, академик РАН, д.м.н.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Воробьев А.И.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Волков В.А.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Вед.н.с.,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Мартынов М.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В.н.с., д.м.н.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Наумов Ю.И.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Шибеко А.М.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Федянина О.С.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Инженер-иссл.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Шноль А.Э.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Инженер-иссл.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Мазничка Ю.И.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Витвицкий В.М.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Суров С.С.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М.н.с.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 xml:space="preserve">Бояхчян А.В. 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Стажер-иссл.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Орлова М.В.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Стажер-иссл.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Коваленко Т.А.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Default="000765F3" w:rsidP="000765F3">
      <w:pPr>
        <w:jc w:val="center"/>
        <w:rPr>
          <w:szCs w:val="20"/>
          <w:lang w:val="ru-RU"/>
        </w:rPr>
      </w:pPr>
    </w:p>
    <w:p w:rsidR="00B358E2" w:rsidRPr="00D103C8" w:rsidRDefault="00B358E2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lastRenderedPageBreak/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Притула М.Н.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Каратаевский 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Синауридзе Е.И.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Власова И.М.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Кузнецова С.А.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Техник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Товстелев А.В.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Котова Я.Н.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Артеменко Е.О.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М.н.с.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Абаева А.А.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Колядко В.А.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Парунов Л.А.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Н.с., к.бн.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Габриелян Л.И.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Стажер-иссл.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Демьянова А.С.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М.н.с.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Хвастунова А.Н.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Беляев А.В.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Дюба А.В.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lastRenderedPageBreak/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Нечипуренко Д.Ю.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Свешникова А.Н.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Стажер-иссл.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Якушева А.А.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Шахиджанов С.С.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В.н.с., к.ф.-м.н.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Белова А.М.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Кочина Е.Н.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Кременецкая О.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Липец Е.Н.</w:t>
      </w:r>
      <w:r w:rsidRPr="00D103C8">
        <w:rPr>
          <w:sz w:val="24"/>
          <w:lang w:val="ru-RU"/>
        </w:rPr>
        <w:tab/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Спиридонов И.С.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Дробышев А.Л.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Стажер-иссл.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Захаров П.Н.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В.н.с.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Захарова Н.В.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0765F3" w:rsidRPr="00D103C8" w:rsidRDefault="000765F3" w:rsidP="000765F3">
      <w:pPr>
        <w:jc w:val="center"/>
        <w:rPr>
          <w:szCs w:val="20"/>
          <w:lang w:val="ru-RU"/>
        </w:rPr>
      </w:pPr>
    </w:p>
    <w:p w:rsidR="000765F3" w:rsidRPr="00D103C8" w:rsidRDefault="000765F3" w:rsidP="000765F3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Н.с.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Мельник К.С.</w:t>
      </w:r>
    </w:p>
    <w:p w:rsidR="00D103C8" w:rsidRPr="00D103C8" w:rsidRDefault="00D103C8" w:rsidP="00D103C8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D103C8" w:rsidRPr="00D103C8" w:rsidRDefault="00D103C8" w:rsidP="00D103C8">
      <w:pPr>
        <w:jc w:val="center"/>
        <w:rPr>
          <w:szCs w:val="20"/>
          <w:lang w:val="ru-RU"/>
        </w:rPr>
      </w:pPr>
    </w:p>
    <w:p w:rsidR="00222813" w:rsidRPr="00D103C8" w:rsidRDefault="00222813" w:rsidP="00222813">
      <w:pPr>
        <w:tabs>
          <w:tab w:val="left" w:pos="3828"/>
        </w:tabs>
        <w:rPr>
          <w:sz w:val="24"/>
          <w:lang w:val="ru-RU"/>
        </w:rPr>
      </w:pPr>
      <w:r>
        <w:rPr>
          <w:sz w:val="24"/>
          <w:lang w:val="ru-RU"/>
        </w:rPr>
        <w:t>С.н.</w:t>
      </w:r>
      <w:r w:rsidRPr="00D103C8">
        <w:rPr>
          <w:sz w:val="24"/>
          <w:lang w:val="ru-RU"/>
        </w:rPr>
        <w:t>с.</w:t>
      </w:r>
      <w:r>
        <w:rPr>
          <w:sz w:val="24"/>
          <w:lang w:val="ru-RU"/>
        </w:rPr>
        <w:t>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>
        <w:rPr>
          <w:sz w:val="24"/>
          <w:lang w:val="ru-RU"/>
        </w:rPr>
        <w:t>Зайцев А.В</w:t>
      </w:r>
      <w:r w:rsidRPr="00D103C8">
        <w:rPr>
          <w:sz w:val="24"/>
          <w:lang w:val="ru-RU"/>
        </w:rPr>
        <w:t>.</w:t>
      </w:r>
    </w:p>
    <w:p w:rsidR="00222813" w:rsidRPr="00D103C8" w:rsidRDefault="00222813" w:rsidP="0022281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222813" w:rsidRPr="00D103C8" w:rsidRDefault="00222813" w:rsidP="00222813">
      <w:pPr>
        <w:jc w:val="center"/>
        <w:rPr>
          <w:szCs w:val="20"/>
          <w:lang w:val="ru-RU"/>
        </w:rPr>
      </w:pPr>
    </w:p>
    <w:p w:rsidR="00222813" w:rsidRPr="00D103C8" w:rsidRDefault="00222813" w:rsidP="00222813">
      <w:pPr>
        <w:tabs>
          <w:tab w:val="left" w:pos="3828"/>
        </w:tabs>
        <w:rPr>
          <w:sz w:val="24"/>
          <w:lang w:val="ru-RU"/>
        </w:rPr>
      </w:pPr>
      <w:r>
        <w:rPr>
          <w:sz w:val="24"/>
          <w:lang w:val="ru-RU"/>
        </w:rPr>
        <w:t>С.н</w:t>
      </w:r>
      <w:r w:rsidRPr="00D103C8">
        <w:rPr>
          <w:sz w:val="24"/>
          <w:lang w:val="ru-RU"/>
        </w:rPr>
        <w:t>.с.</w:t>
      </w:r>
      <w:r>
        <w:rPr>
          <w:sz w:val="24"/>
          <w:lang w:val="ru-RU"/>
        </w:rPr>
        <w:t>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>
        <w:rPr>
          <w:sz w:val="24"/>
          <w:lang w:val="ru-RU"/>
        </w:rPr>
        <w:t>Гудимчук Н.Б.</w:t>
      </w:r>
    </w:p>
    <w:p w:rsidR="00222813" w:rsidRPr="00D103C8" w:rsidRDefault="00222813" w:rsidP="00222813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222813" w:rsidRPr="00D103C8" w:rsidRDefault="00222813" w:rsidP="00222813">
      <w:pPr>
        <w:jc w:val="center"/>
        <w:rPr>
          <w:szCs w:val="20"/>
          <w:lang w:val="ru-RU"/>
        </w:rPr>
      </w:pPr>
    </w:p>
    <w:p w:rsidR="004D52ED" w:rsidRPr="00D103C8" w:rsidRDefault="004D52ED" w:rsidP="004D52ED">
      <w:pPr>
        <w:tabs>
          <w:tab w:val="left" w:pos="3828"/>
        </w:tabs>
        <w:rPr>
          <w:sz w:val="24"/>
          <w:lang w:val="ru-RU"/>
        </w:rPr>
      </w:pPr>
      <w:r w:rsidRPr="00D103C8">
        <w:rPr>
          <w:sz w:val="24"/>
          <w:lang w:val="ru-RU"/>
        </w:rPr>
        <w:t>С.н.с., к.б.н.</w:t>
      </w:r>
      <w:r w:rsidRPr="00D103C8">
        <w:rPr>
          <w:sz w:val="24"/>
          <w:lang w:val="ru-RU"/>
        </w:rPr>
        <w:tab/>
      </w:r>
      <w:r w:rsidRPr="00D103C8">
        <w:rPr>
          <w:sz w:val="24"/>
          <w:lang w:val="ru-RU"/>
        </w:rPr>
        <w:tab/>
      </w:r>
      <w:r w:rsidRPr="00D103C8">
        <w:rPr>
          <w:sz w:val="28"/>
          <w:szCs w:val="24"/>
          <w:lang w:val="ru-RU"/>
        </w:rPr>
        <w:t xml:space="preserve">______________________ </w:t>
      </w:r>
      <w:r w:rsidRPr="00D103C8">
        <w:rPr>
          <w:sz w:val="24"/>
          <w:lang w:val="ru-RU"/>
        </w:rPr>
        <w:t>Баландина А.Н.</w:t>
      </w:r>
    </w:p>
    <w:p w:rsidR="004D52ED" w:rsidRPr="00D103C8" w:rsidRDefault="004D52ED" w:rsidP="004D52ED">
      <w:pPr>
        <w:jc w:val="center"/>
        <w:rPr>
          <w:szCs w:val="20"/>
          <w:lang w:val="ru-RU"/>
        </w:rPr>
      </w:pPr>
      <w:r w:rsidRPr="00D103C8">
        <w:rPr>
          <w:sz w:val="28"/>
          <w:szCs w:val="24"/>
          <w:lang w:val="ru-RU"/>
        </w:rPr>
        <w:tab/>
      </w:r>
      <w:r w:rsidRPr="00D103C8">
        <w:rPr>
          <w:sz w:val="28"/>
          <w:szCs w:val="24"/>
          <w:lang w:val="ru-RU"/>
        </w:rPr>
        <w:tab/>
      </w:r>
      <w:r w:rsidRPr="00D103C8">
        <w:rPr>
          <w:szCs w:val="20"/>
          <w:lang w:val="ru-RU"/>
        </w:rPr>
        <w:t>подпись, дата</w:t>
      </w:r>
    </w:p>
    <w:p w:rsidR="00305B67" w:rsidRPr="00D103C8" w:rsidRDefault="00305B67" w:rsidP="00305B67">
      <w:pPr>
        <w:spacing w:after="160" w:line="259" w:lineRule="auto"/>
        <w:jc w:val="left"/>
        <w:rPr>
          <w:sz w:val="28"/>
          <w:szCs w:val="24"/>
          <w:lang w:val="ru-RU"/>
        </w:rPr>
      </w:pPr>
      <w:r w:rsidRPr="00D103C8">
        <w:rPr>
          <w:sz w:val="28"/>
          <w:szCs w:val="24"/>
          <w:lang w:val="ru-RU"/>
        </w:rPr>
        <w:br w:type="page"/>
      </w:r>
    </w:p>
    <w:p w:rsidR="00ED3DC2" w:rsidRPr="00BF340D" w:rsidRDefault="00ED3DC2" w:rsidP="00ED3DC2">
      <w:pPr>
        <w:spacing w:line="360" w:lineRule="auto"/>
        <w:ind w:firstLine="540"/>
        <w:rPr>
          <w:sz w:val="24"/>
          <w:szCs w:val="24"/>
          <w:lang w:val="ru-RU"/>
        </w:rPr>
      </w:pPr>
      <w:r w:rsidRPr="00BF340D">
        <w:rPr>
          <w:b/>
          <w:sz w:val="24"/>
          <w:szCs w:val="24"/>
          <w:lang w:val="ru-RU"/>
        </w:rPr>
        <w:lastRenderedPageBreak/>
        <w:t>Реферат</w:t>
      </w:r>
      <w:r w:rsidRPr="00BF340D">
        <w:rPr>
          <w:sz w:val="24"/>
          <w:szCs w:val="24"/>
          <w:lang w:val="ru-RU"/>
        </w:rPr>
        <w:t xml:space="preserve"> </w:t>
      </w:r>
    </w:p>
    <w:p w:rsidR="00ED3DC2" w:rsidRPr="00513773" w:rsidRDefault="00ED3DC2" w:rsidP="00ED3DC2">
      <w:pPr>
        <w:rPr>
          <w:sz w:val="24"/>
          <w:szCs w:val="24"/>
          <w:lang w:val="ru-RU"/>
        </w:rPr>
      </w:pPr>
      <w:r w:rsidRPr="00513773">
        <w:rPr>
          <w:sz w:val="24"/>
          <w:szCs w:val="24"/>
          <w:lang w:val="ru-RU"/>
        </w:rPr>
        <w:t xml:space="preserve">Отчет </w:t>
      </w:r>
      <w:r w:rsidR="00513773" w:rsidRPr="00513773">
        <w:rPr>
          <w:sz w:val="24"/>
          <w:szCs w:val="24"/>
          <w:lang w:val="ru-RU"/>
        </w:rPr>
        <w:t>14</w:t>
      </w:r>
      <w:r w:rsidRPr="00513773">
        <w:rPr>
          <w:sz w:val="24"/>
          <w:szCs w:val="24"/>
          <w:lang w:val="ru-RU"/>
        </w:rPr>
        <w:t xml:space="preserve"> стр., </w:t>
      </w:r>
      <w:r w:rsidR="00034FB1" w:rsidRPr="00513773">
        <w:rPr>
          <w:sz w:val="24"/>
          <w:szCs w:val="24"/>
          <w:lang w:val="ru-RU"/>
        </w:rPr>
        <w:t>1</w:t>
      </w:r>
      <w:r w:rsidRPr="00513773">
        <w:rPr>
          <w:sz w:val="24"/>
          <w:szCs w:val="24"/>
          <w:lang w:val="ru-RU"/>
        </w:rPr>
        <w:t xml:space="preserve"> ч., </w:t>
      </w:r>
      <w:r w:rsidR="00993076" w:rsidRPr="00513773">
        <w:rPr>
          <w:sz w:val="24"/>
          <w:szCs w:val="24"/>
          <w:lang w:val="ru-RU"/>
        </w:rPr>
        <w:t>5</w:t>
      </w:r>
      <w:r w:rsidRPr="00513773">
        <w:rPr>
          <w:sz w:val="24"/>
          <w:szCs w:val="24"/>
          <w:lang w:val="ru-RU"/>
        </w:rPr>
        <w:t xml:space="preserve"> рис., </w:t>
      </w:r>
      <w:r w:rsidR="00513773" w:rsidRPr="00513773">
        <w:rPr>
          <w:sz w:val="24"/>
          <w:szCs w:val="24"/>
          <w:lang w:val="ru-RU"/>
        </w:rPr>
        <w:t>8</w:t>
      </w:r>
      <w:r w:rsidR="00DB4377" w:rsidRPr="00513773">
        <w:rPr>
          <w:sz w:val="24"/>
          <w:szCs w:val="24"/>
          <w:lang w:val="ru-RU"/>
        </w:rPr>
        <w:t xml:space="preserve"> источник</w:t>
      </w:r>
      <w:r w:rsidR="00713C22" w:rsidRPr="00513773">
        <w:rPr>
          <w:sz w:val="24"/>
          <w:szCs w:val="24"/>
          <w:lang w:val="ru-RU"/>
        </w:rPr>
        <w:t>ов</w:t>
      </w:r>
      <w:r w:rsidRPr="00513773">
        <w:rPr>
          <w:sz w:val="24"/>
          <w:szCs w:val="24"/>
          <w:lang w:val="ru-RU"/>
        </w:rPr>
        <w:t>.</w:t>
      </w:r>
    </w:p>
    <w:p w:rsidR="00ED3DC2" w:rsidRPr="002037CE" w:rsidRDefault="00ED3DC2" w:rsidP="00ED3DC2">
      <w:pPr>
        <w:rPr>
          <w:sz w:val="24"/>
          <w:szCs w:val="24"/>
          <w:highlight w:val="yellow"/>
          <w:lang w:val="ru-RU"/>
        </w:rPr>
      </w:pPr>
      <w:r w:rsidRPr="00AB1915">
        <w:rPr>
          <w:sz w:val="24"/>
          <w:szCs w:val="24"/>
          <w:lang w:val="ru-RU"/>
        </w:rPr>
        <w:t xml:space="preserve">Ключевые слова: </w:t>
      </w:r>
      <w:r w:rsidR="00AB1915" w:rsidRPr="00AB1915">
        <w:rPr>
          <w:sz w:val="24"/>
          <w:szCs w:val="24"/>
          <w:lang w:val="ru-RU"/>
        </w:rPr>
        <w:t xml:space="preserve">хромосомы, микротрубочки, лазерный пинцет, деление клетки, свертывание крови, фракции тромбоцитов, диагностика </w:t>
      </w:r>
      <w:r w:rsidR="00AB1915" w:rsidRPr="008B4C64">
        <w:rPr>
          <w:sz w:val="24"/>
          <w:szCs w:val="24"/>
          <w:lang w:val="ru-RU"/>
        </w:rPr>
        <w:t>свертывания</w:t>
      </w:r>
      <w:r w:rsidRPr="008B4C64">
        <w:rPr>
          <w:sz w:val="24"/>
          <w:szCs w:val="24"/>
          <w:lang w:val="ru-RU"/>
        </w:rPr>
        <w:t>.</w:t>
      </w:r>
    </w:p>
    <w:p w:rsidR="00996463" w:rsidRPr="008B4C64" w:rsidRDefault="00996463" w:rsidP="00034FB1">
      <w:pPr>
        <w:ind w:firstLine="539"/>
        <w:rPr>
          <w:sz w:val="24"/>
          <w:szCs w:val="24"/>
          <w:lang w:val="ru-RU"/>
        </w:rPr>
      </w:pPr>
      <w:r w:rsidRPr="008B4C64">
        <w:rPr>
          <w:sz w:val="24"/>
          <w:szCs w:val="24"/>
          <w:lang w:val="ru-RU"/>
        </w:rPr>
        <w:t xml:space="preserve">Цель исследования </w:t>
      </w:r>
      <w:r w:rsidR="00AC2E5B" w:rsidRPr="008B4C64">
        <w:rPr>
          <w:sz w:val="24"/>
          <w:szCs w:val="24"/>
          <w:lang w:val="ru-RU"/>
        </w:rPr>
        <w:t>–</w:t>
      </w:r>
      <w:r w:rsidRPr="008B4C64">
        <w:rPr>
          <w:sz w:val="24"/>
          <w:szCs w:val="24"/>
          <w:lang w:val="ru-RU"/>
        </w:rPr>
        <w:t xml:space="preserve"> </w:t>
      </w:r>
      <w:r w:rsidR="008B4C64" w:rsidRPr="008B4C64">
        <w:rPr>
          <w:sz w:val="24"/>
          <w:szCs w:val="24"/>
          <w:lang w:val="ru-RU"/>
        </w:rPr>
        <w:t>изучение биофизических и молекулярных механизмов регуляции движения хромосом в процессах деления клеток, тромбообразования, разработка новых методов диагностики нарушений свертывания крови и создание нового поколения плазмозамещающих противосвертывающих средств</w:t>
      </w:r>
      <w:r w:rsidRPr="008B4C64">
        <w:rPr>
          <w:sz w:val="24"/>
          <w:szCs w:val="24"/>
          <w:lang w:val="ru-RU"/>
        </w:rPr>
        <w:t>.</w:t>
      </w:r>
    </w:p>
    <w:p w:rsidR="00AC2E5B" w:rsidRDefault="00720A39" w:rsidP="00034FB1">
      <w:pPr>
        <w:ind w:firstLine="53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ходе выполнения работы были обнаружены следующие ключевые механизмы, лежащие в основе регуляции деления клетки: 1) наличие бистабильного реакционно-диффузного механизма регуляции работы клеточной киназы авроры Б и 2) обнаружен новый механизм </w:t>
      </w:r>
      <w:r w:rsidRPr="00720A39">
        <w:rPr>
          <w:sz w:val="24"/>
          <w:szCs w:val="24"/>
          <w:lang w:val="ru-RU"/>
        </w:rPr>
        <w:t>движения клеточных органел</w:t>
      </w:r>
      <w:r>
        <w:rPr>
          <w:sz w:val="24"/>
          <w:szCs w:val="24"/>
          <w:lang w:val="ru-RU"/>
        </w:rPr>
        <w:t>л, использующий</w:t>
      </w:r>
      <w:r w:rsidRPr="00720A39">
        <w:rPr>
          <w:sz w:val="24"/>
          <w:szCs w:val="24"/>
          <w:lang w:val="ru-RU"/>
        </w:rPr>
        <w:t xml:space="preserve"> в качестве источника энергии ГТФ-азную активность тубулина</w:t>
      </w:r>
      <w:r>
        <w:rPr>
          <w:sz w:val="24"/>
          <w:szCs w:val="24"/>
          <w:lang w:val="ru-RU"/>
        </w:rPr>
        <w:t>.</w:t>
      </w:r>
    </w:p>
    <w:p w:rsidR="00720A39" w:rsidRPr="00B1392B" w:rsidRDefault="00720A39" w:rsidP="00034FB1">
      <w:pPr>
        <w:ind w:firstLine="53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регуляции свертывания крови были совершены следующие научные открытия: </w:t>
      </w:r>
      <w:r w:rsidR="00B1392B">
        <w:rPr>
          <w:sz w:val="24"/>
          <w:szCs w:val="24"/>
          <w:lang w:val="ru-RU"/>
        </w:rPr>
        <w:t xml:space="preserve">1) показано, что за счет локализации белков свертывания крови на малой части поверхности прокоагулянтных тромбоцитов происходит многократное ускорение мембранно-зависимых реакций системы свертывания, 2) динамика поглощения ионов кальция митохондриями в процессе активации тромбоцитов является определяющей в вопросе формирования субпопуляций активированных тромбоцитов, 3) комбинация двух мембранных рецепторов на тромбоцитах </w:t>
      </w:r>
      <w:r w:rsidR="00B1392B">
        <w:rPr>
          <w:sz w:val="24"/>
          <w:szCs w:val="24"/>
        </w:rPr>
        <w:t>PAR</w:t>
      </w:r>
      <w:r w:rsidR="00B1392B" w:rsidRPr="00B1392B">
        <w:rPr>
          <w:sz w:val="24"/>
          <w:szCs w:val="24"/>
          <w:lang w:val="ru-RU"/>
        </w:rPr>
        <w:t xml:space="preserve">1 </w:t>
      </w:r>
      <w:r w:rsidR="00B1392B">
        <w:rPr>
          <w:sz w:val="24"/>
          <w:szCs w:val="24"/>
          <w:lang w:val="ru-RU"/>
        </w:rPr>
        <w:t xml:space="preserve">и </w:t>
      </w:r>
      <w:r w:rsidR="00B1392B">
        <w:rPr>
          <w:sz w:val="24"/>
          <w:szCs w:val="24"/>
        </w:rPr>
        <w:t>PAR</w:t>
      </w:r>
      <w:r w:rsidR="00B1392B" w:rsidRPr="00B1392B">
        <w:rPr>
          <w:sz w:val="24"/>
          <w:szCs w:val="24"/>
          <w:lang w:val="ru-RU"/>
        </w:rPr>
        <w:t>4</w:t>
      </w:r>
      <w:r w:rsidR="00B1392B">
        <w:rPr>
          <w:sz w:val="24"/>
          <w:szCs w:val="24"/>
          <w:lang w:val="ru-RU"/>
        </w:rPr>
        <w:t xml:space="preserve"> необходима для обеспечения порогового ответа тромбоцитов на активирующий сигнал и 4) обнаружен способ увеличения селективности ингибиторов фактора </w:t>
      </w:r>
      <w:r w:rsidR="00B1392B">
        <w:rPr>
          <w:sz w:val="24"/>
          <w:szCs w:val="24"/>
        </w:rPr>
        <w:t>XII</w:t>
      </w:r>
      <w:r w:rsidR="00B1392B">
        <w:rPr>
          <w:sz w:val="24"/>
          <w:szCs w:val="24"/>
          <w:lang w:val="ru-RU"/>
        </w:rPr>
        <w:t xml:space="preserve"> за счет внесения изменений в </w:t>
      </w:r>
      <w:r w:rsidR="00B1392B" w:rsidRPr="00B1392B">
        <w:rPr>
          <w:sz w:val="24"/>
          <w:szCs w:val="24"/>
          <w:lang w:val="ru-RU"/>
        </w:rPr>
        <w:t>в протеаза-связывающую петлю инфестина-4</w:t>
      </w:r>
      <w:r w:rsidR="00B1392B">
        <w:rPr>
          <w:sz w:val="24"/>
          <w:szCs w:val="24"/>
          <w:lang w:val="ru-RU"/>
        </w:rPr>
        <w:t>.</w:t>
      </w:r>
    </w:p>
    <w:p w:rsidR="00720A39" w:rsidRDefault="00720A39" w:rsidP="00034FB1">
      <w:pPr>
        <w:ind w:firstLine="539"/>
        <w:rPr>
          <w:sz w:val="24"/>
          <w:szCs w:val="24"/>
          <w:lang w:val="ru-RU"/>
        </w:rPr>
      </w:pPr>
    </w:p>
    <w:p w:rsidR="001714A1" w:rsidRPr="00305B67" w:rsidRDefault="001714A1" w:rsidP="001714A1">
      <w:pPr>
        <w:pStyle w:val="10"/>
        <w:pageBreakBefore/>
        <w:jc w:val="center"/>
        <w:rPr>
          <w:rFonts w:ascii="Times New Roman" w:hAnsi="Times New Roman"/>
          <w:color w:val="auto"/>
          <w:lang w:val="ru-RU"/>
        </w:rPr>
      </w:pPr>
      <w:r w:rsidRPr="00305B67">
        <w:rPr>
          <w:rFonts w:ascii="Times New Roman" w:hAnsi="Times New Roman"/>
          <w:color w:val="auto"/>
          <w:lang w:val="ru-RU"/>
        </w:rPr>
        <w:lastRenderedPageBreak/>
        <w:t>Содержание</w:t>
      </w:r>
    </w:p>
    <w:p w:rsidR="00B358E2" w:rsidRDefault="001714A1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r w:rsidRPr="0042459A">
        <w:rPr>
          <w:sz w:val="28"/>
        </w:rPr>
        <w:fldChar w:fldCharType="begin"/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instrText>TOC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o</w:instrText>
      </w:r>
      <w:r w:rsidRPr="0042459A">
        <w:rPr>
          <w:sz w:val="28"/>
          <w:lang w:val="ru-RU"/>
        </w:rPr>
        <w:instrText xml:space="preserve"> "1-3" \</w:instrText>
      </w:r>
      <w:r w:rsidRPr="0042459A">
        <w:rPr>
          <w:sz w:val="28"/>
        </w:rPr>
        <w:instrText>h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z</w:instrText>
      </w:r>
      <w:r w:rsidRPr="0042459A">
        <w:rPr>
          <w:sz w:val="28"/>
          <w:lang w:val="ru-RU"/>
        </w:rPr>
        <w:instrText xml:space="preserve"> \</w:instrText>
      </w:r>
      <w:r w:rsidRPr="0042459A">
        <w:rPr>
          <w:sz w:val="28"/>
        </w:rPr>
        <w:instrText>u</w:instrText>
      </w:r>
      <w:r w:rsidRPr="0042459A">
        <w:rPr>
          <w:sz w:val="28"/>
          <w:lang w:val="ru-RU"/>
        </w:rPr>
        <w:instrText xml:space="preserve"> </w:instrText>
      </w:r>
      <w:r w:rsidRPr="0042459A">
        <w:rPr>
          <w:sz w:val="28"/>
        </w:rPr>
        <w:fldChar w:fldCharType="separate"/>
      </w:r>
      <w:hyperlink w:anchor="_Toc473557118" w:history="1">
        <w:r w:rsidR="00B358E2" w:rsidRPr="00DD49C1">
          <w:rPr>
            <w:rStyle w:val="Hyperlink"/>
            <w:noProof/>
            <w:lang w:val="ru-RU"/>
          </w:rPr>
          <w:t>Обозначения и сокращения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_Toc473557118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7</w:t>
        </w:r>
        <w:r w:rsidR="00B358E2">
          <w:rPr>
            <w:noProof/>
            <w:webHidden/>
          </w:rPr>
          <w:fldChar w:fldCharType="end"/>
        </w:r>
      </w:hyperlink>
    </w:p>
    <w:p w:rsidR="00B358E2" w:rsidRDefault="00B537E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57119" w:history="1">
        <w:r w:rsidR="00B358E2" w:rsidRPr="00DD49C1">
          <w:rPr>
            <w:rStyle w:val="Hyperlink"/>
            <w:noProof/>
            <w:lang w:val="ru-RU"/>
          </w:rPr>
          <w:t>Введение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_Toc473557119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8</w:t>
        </w:r>
        <w:r w:rsidR="00B358E2">
          <w:rPr>
            <w:noProof/>
            <w:webHidden/>
          </w:rPr>
          <w:fldChar w:fldCharType="end"/>
        </w:r>
      </w:hyperlink>
    </w:p>
    <w:p w:rsidR="00B358E2" w:rsidRDefault="00B537E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57120" w:history="1">
        <w:r w:rsidR="00B358E2" w:rsidRPr="00DD49C1">
          <w:rPr>
            <w:rStyle w:val="Hyperlink"/>
            <w:noProof/>
            <w:lang w:val="ru-RU"/>
          </w:rPr>
          <w:t>Основная часть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_Toc473557120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9</w:t>
        </w:r>
        <w:r w:rsidR="00B358E2">
          <w:rPr>
            <w:noProof/>
            <w:webHidden/>
          </w:rPr>
          <w:fldChar w:fldCharType="end"/>
        </w:r>
      </w:hyperlink>
    </w:p>
    <w:p w:rsidR="00B358E2" w:rsidRDefault="00B537E3">
      <w:pPr>
        <w:pStyle w:val="TOC3"/>
        <w:tabs>
          <w:tab w:val="left" w:pos="880"/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57121" w:history="1">
        <w:r w:rsidR="00B358E2" w:rsidRPr="00DD49C1">
          <w:rPr>
            <w:rStyle w:val="Hyperlink"/>
            <w:noProof/>
            <w:lang w:val="ru-RU"/>
          </w:rPr>
          <w:t>1.</w:t>
        </w:r>
        <w:r w:rsidR="00B358E2">
          <w:rPr>
            <w:rFonts w:asciiTheme="minorHAnsi" w:eastAsiaTheme="minorEastAsia" w:hAnsiTheme="minorHAnsi" w:cstheme="minorBidi"/>
            <w:noProof/>
            <w:lang w:val="ru-RU" w:eastAsia="ru-RU"/>
          </w:rPr>
          <w:tab/>
        </w:r>
        <w:r w:rsidR="00B358E2" w:rsidRPr="00DD49C1">
          <w:rPr>
            <w:rStyle w:val="Hyperlink"/>
            <w:noProof/>
            <w:lang w:val="ru-RU"/>
          </w:rPr>
          <w:t>Важнейшие результаты исследований, завершенных в 2016 году по программе фундаментальных научных исследований государственных академий наук на 2013–2020 годы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_Toc473557121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9</w:t>
        </w:r>
        <w:r w:rsidR="00B358E2">
          <w:rPr>
            <w:noProof/>
            <w:webHidden/>
          </w:rPr>
          <w:fldChar w:fldCharType="end"/>
        </w:r>
      </w:hyperlink>
    </w:p>
    <w:p w:rsidR="00B358E2" w:rsidRDefault="00B537E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57122" w:history="1">
        <w:r w:rsidR="00B358E2" w:rsidRPr="00DD49C1">
          <w:rPr>
            <w:rStyle w:val="Hyperlink"/>
            <w:noProof/>
            <w:lang w:val="ru-RU"/>
          </w:rPr>
          <w:t>Выводы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_Toc473557122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13</w:t>
        </w:r>
        <w:r w:rsidR="00B358E2">
          <w:rPr>
            <w:noProof/>
            <w:webHidden/>
          </w:rPr>
          <w:fldChar w:fldCharType="end"/>
        </w:r>
      </w:hyperlink>
    </w:p>
    <w:p w:rsidR="00B358E2" w:rsidRDefault="00B537E3">
      <w:pPr>
        <w:pStyle w:val="TOC2"/>
        <w:tabs>
          <w:tab w:val="right" w:leader="dot" w:pos="9679"/>
        </w:tabs>
        <w:rPr>
          <w:rFonts w:asciiTheme="minorHAnsi" w:eastAsiaTheme="minorEastAsia" w:hAnsiTheme="minorHAnsi" w:cstheme="minorBidi"/>
          <w:noProof/>
          <w:lang w:val="ru-RU" w:eastAsia="ru-RU"/>
        </w:rPr>
      </w:pPr>
      <w:hyperlink w:anchor="_Toc473557123" w:history="1">
        <w:r w:rsidR="00B358E2" w:rsidRPr="00DD49C1">
          <w:rPr>
            <w:rStyle w:val="Hyperlink"/>
            <w:noProof/>
          </w:rPr>
          <w:t>Список использованных источников</w:t>
        </w:r>
        <w:r w:rsidR="00B358E2">
          <w:rPr>
            <w:noProof/>
            <w:webHidden/>
          </w:rPr>
          <w:tab/>
        </w:r>
        <w:r w:rsidR="00B358E2">
          <w:rPr>
            <w:noProof/>
            <w:webHidden/>
          </w:rPr>
          <w:fldChar w:fldCharType="begin"/>
        </w:r>
        <w:r w:rsidR="00B358E2">
          <w:rPr>
            <w:noProof/>
            <w:webHidden/>
          </w:rPr>
          <w:instrText xml:space="preserve"> PAGEREF _Toc473557123 \h </w:instrText>
        </w:r>
        <w:r w:rsidR="00B358E2">
          <w:rPr>
            <w:noProof/>
            <w:webHidden/>
          </w:rPr>
        </w:r>
        <w:r w:rsidR="00B358E2">
          <w:rPr>
            <w:noProof/>
            <w:webHidden/>
          </w:rPr>
          <w:fldChar w:fldCharType="separate"/>
        </w:r>
        <w:r w:rsidR="00B358E2">
          <w:rPr>
            <w:noProof/>
            <w:webHidden/>
          </w:rPr>
          <w:t>14</w:t>
        </w:r>
        <w:r w:rsidR="00B358E2">
          <w:rPr>
            <w:noProof/>
            <w:webHidden/>
          </w:rPr>
          <w:fldChar w:fldCharType="end"/>
        </w:r>
      </w:hyperlink>
    </w:p>
    <w:p w:rsidR="001714A1" w:rsidRPr="001714A1" w:rsidRDefault="001714A1" w:rsidP="001714A1">
      <w:pPr>
        <w:ind w:firstLine="539"/>
        <w:rPr>
          <w:sz w:val="24"/>
          <w:szCs w:val="24"/>
        </w:rPr>
      </w:pPr>
      <w:r w:rsidRPr="0042459A">
        <w:rPr>
          <w:b/>
          <w:bCs/>
          <w:sz w:val="28"/>
        </w:rPr>
        <w:fldChar w:fldCharType="end"/>
      </w:r>
    </w:p>
    <w:p w:rsidR="00ED3DC2" w:rsidRDefault="00ED3DC2" w:rsidP="00673B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419EA" w:rsidRPr="008419EA" w:rsidRDefault="008419EA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0" w:name="_Toc437480266"/>
      <w:bookmarkStart w:id="1" w:name="_Toc473557118"/>
      <w:r w:rsidRPr="008419EA">
        <w:rPr>
          <w:rFonts w:ascii="Times New Roman" w:hAnsi="Times New Roman"/>
          <w:color w:val="auto"/>
          <w:sz w:val="28"/>
          <w:lang w:val="ru-RU"/>
        </w:rPr>
        <w:lastRenderedPageBreak/>
        <w:t>Обозначения и сокращения</w:t>
      </w:r>
      <w:bookmarkEnd w:id="0"/>
      <w:bookmarkEnd w:id="1"/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B-ККЛ – В-крупно-клеточная лимфома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ГТФаза – ГуанозинТриФосфатаза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КМ – костный мозг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РМЖ – рак молочной железы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СП – структура питания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ТПА – тканевый активатор плазминогена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CENP-F – центромерный белок F</w:t>
      </w:r>
    </w:p>
    <w:p w:rsidR="00AB1915" w:rsidRPr="00431736" w:rsidRDefault="00AB1915" w:rsidP="00AB1915">
      <w:pPr>
        <w:spacing w:line="360" w:lineRule="auto"/>
        <w:rPr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PAR1 – активируемый протеиназами рецептор 1</w:t>
      </w:r>
    </w:p>
    <w:p w:rsidR="00AB1915" w:rsidRPr="00546722" w:rsidRDefault="00AB1915" w:rsidP="00AB1915">
      <w:pPr>
        <w:spacing w:line="360" w:lineRule="auto"/>
        <w:rPr>
          <w:b/>
          <w:sz w:val="24"/>
          <w:szCs w:val="24"/>
          <w:lang w:val="ru-RU"/>
        </w:rPr>
      </w:pPr>
      <w:r w:rsidRPr="00431736">
        <w:rPr>
          <w:sz w:val="24"/>
          <w:szCs w:val="24"/>
          <w:lang w:val="ru-RU"/>
        </w:rPr>
        <w:t>PAR4 – активируемый протеиназами рецептор 4</w:t>
      </w:r>
    </w:p>
    <w:p w:rsidR="00ED3DC2" w:rsidRPr="0099772B" w:rsidRDefault="00ED3DC2" w:rsidP="008419EA">
      <w:pPr>
        <w:pStyle w:val="Heading2"/>
        <w:pageBreakBefore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2" w:name="_Toc473557119"/>
      <w:r w:rsidRPr="0099772B">
        <w:rPr>
          <w:rFonts w:ascii="Times New Roman" w:hAnsi="Times New Roman"/>
          <w:color w:val="auto"/>
          <w:sz w:val="28"/>
          <w:lang w:val="ru-RU"/>
        </w:rPr>
        <w:lastRenderedPageBreak/>
        <w:t>Введение</w:t>
      </w:r>
      <w:bookmarkEnd w:id="2"/>
    </w:p>
    <w:p w:rsidR="00A465F5" w:rsidRPr="00A465F5" w:rsidRDefault="00A465F5" w:rsidP="00A465F5">
      <w:pPr>
        <w:spacing w:line="360" w:lineRule="auto"/>
        <w:ind w:firstLine="708"/>
        <w:rPr>
          <w:sz w:val="24"/>
          <w:szCs w:val="24"/>
          <w:lang w:val="ru-RU"/>
        </w:rPr>
      </w:pPr>
      <w:r w:rsidRPr="00A465F5">
        <w:rPr>
          <w:sz w:val="24"/>
          <w:szCs w:val="24"/>
          <w:lang w:val="ru-RU"/>
        </w:rPr>
        <w:t xml:space="preserve">Митоз – один из ключевых клеточных процессов, понимание деталей которого важно как для фундаментальной науки, так и для медицины. Понимание механизмов нарушения митоза, приводящих к анеуплоидии и ошибкам деления, может оказаться приницпиально новым направлением коррекции регенеративных процессов в </w:t>
      </w:r>
      <w:r w:rsidRPr="00513773">
        <w:rPr>
          <w:sz w:val="24"/>
          <w:szCs w:val="24"/>
          <w:lang w:val="ru-RU"/>
        </w:rPr>
        <w:t>онкологии (Cimini, 2008; Weaver and Cleveland, 2006; Nicholson and Cimini, 2013). Хорошо известно, что</w:t>
      </w:r>
      <w:r w:rsidRPr="00A465F5">
        <w:rPr>
          <w:sz w:val="24"/>
          <w:szCs w:val="24"/>
          <w:lang w:val="ru-RU"/>
        </w:rPr>
        <w:t xml:space="preserve"> современная терапия онкозаболеваний направлена на уничтожение делящихся клеток, как нормальных, так и опухолевых. Поэтому процессы регенерации органов и тканей являются важнейшей частью терапии. После терапии цитотоксическими и цитостатическими препаратами, а часто и во время нее, неизбежно возникает большая масса делящихся клеток, как нормальных, так и с дефектами деления. Как следствие – резко возрастает риск появления новых трансформированных клонов – источников метастазирования. Этот риск можно резко снизить, если в процессе онкотерапии защитить и усилить механизмы исправления ошибок в процессе деления клеток. Точное распределение генетического материала при делении клетки достигается благодаря взаимодействию хромосом с веретеном деления, состоящим из микротрубочек и десятков других белков. Микротрубочки должны специфично и прочно присоединиться к специализированным мульти-белковым комплексам на хромосомах, называемым кинетохорами. Более того, одна из сестринских хроматид в составе хромосомы должна присоединиться своим кинетохором к микротрубочкам, идущим строго из одного полюса веретена деления, а вторая – к микротрубочкам из другого полюса. Процесс образования этих полярных присоединений называется биориентацией, а ошибки в этом процессе ведут к анеуплоидии, хромосомным болезням и злокачественному перерождению клеток. Случайные присоединения микротрубочек к кинетохорам приводят к примерно равному распределению микротрубочек, пришедших из каждого полюса, на обоих сестринских кинетохорах в хромосоме, что несомненно должно вызывать гибель клеток. Таким образом, на кинетохоре действует активный молекулярный механизм сортировки присоединившихся микротрубочек на «правильные» и «неправильные», причем «неправильные» постоянно отсоединяются. </w:t>
      </w:r>
    </w:p>
    <w:p w:rsidR="00AC2E5B" w:rsidRPr="00B3033D" w:rsidRDefault="00A465F5" w:rsidP="00A465F5">
      <w:pPr>
        <w:spacing w:line="360" w:lineRule="auto"/>
        <w:ind w:firstLine="708"/>
        <w:rPr>
          <w:sz w:val="24"/>
          <w:szCs w:val="24"/>
          <w:lang w:val="ru-RU"/>
        </w:rPr>
      </w:pPr>
      <w:r w:rsidRPr="00A465F5">
        <w:rPr>
          <w:sz w:val="24"/>
          <w:szCs w:val="24"/>
          <w:lang w:val="ru-RU"/>
        </w:rPr>
        <w:t>Механизмы формирования тромбов и репарации сосудов в норме и при разных патологиях являются не только уникально интересными, но и исключительно важны в медицине. Нами недавно установлено экспериментально, что свертывание распространяется в пространстве как автоволна</w:t>
      </w:r>
      <w:r w:rsidR="00513773">
        <w:rPr>
          <w:sz w:val="24"/>
          <w:szCs w:val="24"/>
          <w:lang w:val="ru-RU"/>
        </w:rPr>
        <w:t xml:space="preserve"> (</w:t>
      </w:r>
      <w:r w:rsidR="00513773" w:rsidRPr="00513773">
        <w:rPr>
          <w:sz w:val="24"/>
          <w:szCs w:val="24"/>
          <w:lang w:val="ru-RU"/>
        </w:rPr>
        <w:t xml:space="preserve">Lobanova and Ataullakhanov, 2003, 2004; Атауллаханов et al., </w:t>
      </w:r>
      <w:r w:rsidR="00513773" w:rsidRPr="00513773">
        <w:rPr>
          <w:sz w:val="24"/>
          <w:szCs w:val="24"/>
          <w:lang w:val="ru-RU"/>
        </w:rPr>
        <w:lastRenderedPageBreak/>
        <w:t>2007</w:t>
      </w:r>
      <w:r w:rsidR="00513773">
        <w:rPr>
          <w:sz w:val="24"/>
          <w:szCs w:val="24"/>
          <w:lang w:val="ru-RU"/>
        </w:rPr>
        <w:t xml:space="preserve">; </w:t>
      </w:r>
      <w:r w:rsidR="00513773" w:rsidRPr="00B91878">
        <w:rPr>
          <w:sz w:val="24"/>
          <w:szCs w:val="24"/>
          <w:lang w:val="ru-RU"/>
        </w:rPr>
        <w:t>Ataullakhanov et al., 2013, Dashkevich et al., 2012</w:t>
      </w:r>
      <w:r w:rsidR="00513773">
        <w:rPr>
          <w:sz w:val="24"/>
          <w:szCs w:val="24"/>
          <w:lang w:val="ru-RU"/>
        </w:rPr>
        <w:t>)</w:t>
      </w:r>
      <w:r w:rsidRPr="00A465F5">
        <w:rPr>
          <w:sz w:val="24"/>
          <w:szCs w:val="24"/>
          <w:lang w:val="ru-RU"/>
        </w:rPr>
        <w:t xml:space="preserve">. Параметры этой автоволны несут уникальную информацию о состояние гемостаза в организме. В настоящем исследовании мы планируем, проведение трансляционных исследований и математическое моделирование процессов репарации сосудов при разных патологиях, пытаясь с помощью математических моделей выяснить закономерности, общие как для процессов репарации сосудов, так и для процессов формирования градиентов и молекулярных структур в митозе. Это позволит нам выявить особенности нарушения гемостаза при этих патологиях и внести изменения в диагностику и лечение этих заболеваний, а также понять механизмы возникновения анеуплоидии и нарушений процессов деления клетки. Исследования формирования градиентов в митозе и процессов репарации сосудов должны позволить нам провести разработку </w:t>
      </w:r>
      <w:r w:rsidRPr="00B3033D">
        <w:rPr>
          <w:sz w:val="24"/>
          <w:szCs w:val="24"/>
          <w:lang w:val="ru-RU"/>
        </w:rPr>
        <w:t>математических моделей, позволяющих выявлять базовые принципы процессов развития и регенерации в биомедицине.</w:t>
      </w:r>
    </w:p>
    <w:p w:rsidR="009E4076" w:rsidRPr="00B3033D" w:rsidRDefault="009E4076" w:rsidP="0099772B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</w:p>
    <w:p w:rsidR="00ED3DC2" w:rsidRPr="00B3033D" w:rsidRDefault="00ED3DC2" w:rsidP="0099772B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3" w:name="_Toc473557120"/>
      <w:r w:rsidRPr="00B3033D">
        <w:rPr>
          <w:rFonts w:ascii="Times New Roman" w:hAnsi="Times New Roman"/>
          <w:color w:val="auto"/>
          <w:sz w:val="28"/>
          <w:lang w:val="ru-RU"/>
        </w:rPr>
        <w:t>Основная часть</w:t>
      </w:r>
      <w:bookmarkEnd w:id="3"/>
    </w:p>
    <w:p w:rsidR="00ED3DC2" w:rsidRPr="00B3033D" w:rsidRDefault="008B4C64" w:rsidP="008B4C64">
      <w:pPr>
        <w:pStyle w:val="Heading3"/>
        <w:numPr>
          <w:ilvl w:val="0"/>
          <w:numId w:val="1"/>
        </w:numPr>
        <w:spacing w:before="0" w:line="360" w:lineRule="auto"/>
        <w:rPr>
          <w:rFonts w:ascii="Times New Roman" w:hAnsi="Times New Roman"/>
          <w:color w:val="auto"/>
          <w:sz w:val="24"/>
          <w:szCs w:val="28"/>
          <w:lang w:val="ru-RU"/>
        </w:rPr>
      </w:pPr>
      <w:bookmarkStart w:id="4" w:name="_Toc473557121"/>
      <w:r w:rsidRPr="00B3033D">
        <w:rPr>
          <w:rFonts w:ascii="Times New Roman" w:hAnsi="Times New Roman"/>
          <w:color w:val="auto"/>
          <w:sz w:val="24"/>
          <w:szCs w:val="28"/>
          <w:lang w:val="ru-RU"/>
        </w:rPr>
        <w:t>Важнейшие результаты исследований, завершенных в 2016 году по программе фундаментальных научных исследований государственных академий наук на 2013–2020 годы</w:t>
      </w:r>
      <w:bookmarkEnd w:id="4"/>
    </w:p>
    <w:p w:rsidR="008B4C64" w:rsidRPr="008B4C64" w:rsidRDefault="008B4C64" w:rsidP="008B4C64">
      <w:pPr>
        <w:autoSpaceDE w:val="0"/>
        <w:autoSpaceDN w:val="0"/>
        <w:adjustRightInd w:val="0"/>
        <w:spacing w:line="360" w:lineRule="auto"/>
        <w:ind w:firstLine="709"/>
        <w:rPr>
          <w:sz w:val="24"/>
          <w:szCs w:val="28"/>
          <w:lang w:val="ru-RU"/>
        </w:rPr>
      </w:pPr>
      <w:r w:rsidRPr="00B3033D">
        <w:rPr>
          <w:sz w:val="24"/>
          <w:szCs w:val="28"/>
          <w:lang w:val="ru-RU"/>
        </w:rPr>
        <w:t>1) Пространственно</w:t>
      </w:r>
      <w:r w:rsidRPr="008B4C64">
        <w:rPr>
          <w:sz w:val="24"/>
          <w:szCs w:val="28"/>
          <w:lang w:val="ru-RU"/>
        </w:rPr>
        <w:t>-временная регуляция Авроры Б (необходимой клеточной киназы, регулирующей процесс деления клетки) управляется бистабильным реакционно-диффузионным механизмом (Рис. 1).</w:t>
      </w:r>
    </w:p>
    <w:p w:rsidR="008B4C64" w:rsidRPr="008B4C64" w:rsidRDefault="008B4C64" w:rsidP="008B4C64">
      <w:pPr>
        <w:autoSpaceDE w:val="0"/>
        <w:autoSpaceDN w:val="0"/>
        <w:adjustRightInd w:val="0"/>
        <w:jc w:val="center"/>
        <w:rPr>
          <w:rFonts w:eastAsia="Calibri"/>
          <w:noProof/>
          <w:sz w:val="28"/>
          <w:szCs w:val="28"/>
          <w:lang w:val="ru-RU" w:eastAsia="ru-RU"/>
        </w:rPr>
      </w:pPr>
      <w:r w:rsidRPr="008B4C64">
        <w:rPr>
          <w:rFonts w:eastAsia="Calibri"/>
          <w:noProof/>
          <w:lang w:val="ru-RU" w:eastAsia="ru-RU"/>
        </w:rPr>
        <w:lastRenderedPageBreak/>
        <w:drawing>
          <wp:inline distT="0" distB="0" distL="0" distR="0" wp14:anchorId="2FF661EE" wp14:editId="1A17A98D">
            <wp:extent cx="5105400" cy="36493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" t="2531" r="2121" b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64" w:rsidRPr="00D103C8" w:rsidRDefault="008B4C64" w:rsidP="008B4C64">
      <w:pPr>
        <w:autoSpaceDE w:val="0"/>
        <w:autoSpaceDN w:val="0"/>
        <w:adjustRightInd w:val="0"/>
        <w:spacing w:line="360" w:lineRule="auto"/>
        <w:ind w:firstLine="709"/>
        <w:rPr>
          <w:rFonts w:eastAsia="Calibri"/>
          <w:noProof/>
          <w:sz w:val="24"/>
          <w:szCs w:val="28"/>
          <w:lang w:val="ru-RU" w:eastAsia="ru-RU"/>
        </w:rPr>
      </w:pPr>
      <w:r w:rsidRPr="00D103C8">
        <w:rPr>
          <w:rFonts w:eastAsia="Calibri"/>
          <w:noProof/>
          <w:sz w:val="24"/>
          <w:szCs w:val="28"/>
          <w:lang w:val="ru-RU" w:eastAsia="ru-RU"/>
        </w:rPr>
        <w:t xml:space="preserve">Рис. 1. Авто-активация Авроры Б </w:t>
      </w:r>
      <w:r w:rsidRPr="008B4C64">
        <w:rPr>
          <w:rFonts w:eastAsia="Calibri"/>
          <w:noProof/>
          <w:sz w:val="24"/>
          <w:szCs w:val="28"/>
          <w:lang w:eastAsia="ru-RU"/>
        </w:rPr>
        <w:t>in</w:t>
      </w:r>
      <w:r w:rsidRPr="00D103C8">
        <w:rPr>
          <w:rFonts w:eastAsia="Calibri"/>
          <w:noProof/>
          <w:sz w:val="24"/>
          <w:szCs w:val="28"/>
          <w:lang w:val="ru-RU" w:eastAsia="ru-RU"/>
        </w:rPr>
        <w:t xml:space="preserve"> </w:t>
      </w:r>
      <w:r w:rsidRPr="008B4C64">
        <w:rPr>
          <w:rFonts w:eastAsia="Calibri"/>
          <w:noProof/>
          <w:sz w:val="24"/>
          <w:szCs w:val="28"/>
          <w:lang w:eastAsia="ru-RU"/>
        </w:rPr>
        <w:t>vitro</w:t>
      </w:r>
      <w:r w:rsidRPr="00D103C8">
        <w:rPr>
          <w:rFonts w:eastAsia="Calibri"/>
          <w:noProof/>
          <w:sz w:val="24"/>
          <w:szCs w:val="28"/>
          <w:lang w:val="ru-RU" w:eastAsia="ru-RU"/>
        </w:rPr>
        <w:t xml:space="preserve">. </w:t>
      </w: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lang w:val="ru-RU" w:eastAsia="ru-RU"/>
        </w:rPr>
      </w:pP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lang w:val="ru-RU" w:eastAsia="ru-RU"/>
        </w:rPr>
      </w:pPr>
      <w:r w:rsidRPr="008B4C64">
        <w:rPr>
          <w:sz w:val="24"/>
          <w:szCs w:val="28"/>
          <w:lang w:val="ru-RU" w:eastAsia="ru-RU"/>
        </w:rPr>
        <w:t xml:space="preserve">2) Обнаружено, что белки свертывания крови концентрируются в локальной области на поверхности прокоагулянтных тромбоцитов ("шапке"). </w:t>
      </w:r>
      <w:r w:rsidRPr="00D103C8">
        <w:rPr>
          <w:sz w:val="24"/>
          <w:szCs w:val="28"/>
          <w:lang w:val="ru-RU" w:eastAsia="ru-RU"/>
        </w:rPr>
        <w:t>Такое концентрирование приводит к резкому (на два порядка) ускорению мембранных реакций свертывания крови (Рис. 2).</w:t>
      </w:r>
    </w:p>
    <w:p w:rsidR="008B4C64" w:rsidRPr="008B4C64" w:rsidRDefault="008B4C64" w:rsidP="008B4C64">
      <w:pPr>
        <w:spacing w:line="360" w:lineRule="auto"/>
        <w:jc w:val="center"/>
        <w:rPr>
          <w:sz w:val="28"/>
          <w:szCs w:val="28"/>
          <w:lang w:val="ru-RU"/>
        </w:rPr>
      </w:pPr>
      <w:r w:rsidRPr="008B4C64">
        <w:rPr>
          <w:noProof/>
          <w:lang w:val="ru-RU" w:eastAsia="ru-RU"/>
        </w:rPr>
        <w:drawing>
          <wp:inline distT="0" distB="0" distL="0" distR="0" wp14:anchorId="18D041A5" wp14:editId="08730BFF">
            <wp:extent cx="5537200" cy="286194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3" t="23180" r="28168" b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lang w:val="ru-RU"/>
        </w:rPr>
      </w:pPr>
      <w:r w:rsidRPr="00D103C8">
        <w:rPr>
          <w:sz w:val="24"/>
          <w:szCs w:val="28"/>
          <w:lang w:val="ru-RU"/>
        </w:rPr>
        <w:t xml:space="preserve">Рис. 2. Распределение факторов </w:t>
      </w:r>
      <w:r w:rsidRPr="008B4C64">
        <w:rPr>
          <w:sz w:val="24"/>
          <w:szCs w:val="28"/>
        </w:rPr>
        <w:t>IXa</w:t>
      </w:r>
      <w:r w:rsidRPr="00D103C8">
        <w:rPr>
          <w:sz w:val="24"/>
          <w:szCs w:val="28"/>
          <w:lang w:val="ru-RU"/>
        </w:rPr>
        <w:t>, Х, Ха и проторомбина на мембране активированных (слева) и неактивированных (справа) тромбоцитов.</w:t>
      </w: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shd w:val="clear" w:color="auto" w:fill="FFFFFF"/>
          <w:lang w:val="ru-RU"/>
        </w:rPr>
      </w:pP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shd w:val="clear" w:color="auto" w:fill="FFFFFF"/>
          <w:lang w:val="ru-RU"/>
        </w:rPr>
      </w:pPr>
      <w:r w:rsidRPr="00D103C8">
        <w:rPr>
          <w:sz w:val="24"/>
          <w:szCs w:val="28"/>
          <w:shd w:val="clear" w:color="auto" w:fill="FFFFFF"/>
          <w:lang w:val="ru-RU"/>
        </w:rPr>
        <w:t>3) Активация тромбоцитов является результатом поглощения кальция митохондриями; этот процесс обратим, запускается в каждой митохондрии индивидуально и обеспечивает деление активированных тромбоцитов на субпопуляции (Рис. 3).</w:t>
      </w:r>
    </w:p>
    <w:p w:rsidR="008B4C64" w:rsidRPr="008B4C64" w:rsidRDefault="008B4C64" w:rsidP="008B4C64">
      <w:pPr>
        <w:spacing w:line="360" w:lineRule="auto"/>
        <w:jc w:val="center"/>
        <w:rPr>
          <w:sz w:val="28"/>
          <w:szCs w:val="28"/>
          <w:shd w:val="clear" w:color="auto" w:fill="FFFFFF"/>
          <w:lang w:val="ru-RU"/>
        </w:rPr>
      </w:pPr>
      <w:r w:rsidRPr="008B4C64">
        <w:rPr>
          <w:noProof/>
          <w:lang w:val="ru-RU" w:eastAsia="ru-RU"/>
        </w:rPr>
        <w:drawing>
          <wp:inline distT="0" distB="0" distL="0" distR="0" wp14:anchorId="409FD9D4" wp14:editId="4F746997">
            <wp:extent cx="4478655" cy="26416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5" t="19794" r="23300" b="2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64" w:rsidRPr="00D103C8" w:rsidRDefault="008B4C64" w:rsidP="008B4C64">
      <w:pPr>
        <w:spacing w:line="360" w:lineRule="auto"/>
        <w:ind w:firstLine="709"/>
        <w:rPr>
          <w:sz w:val="24"/>
          <w:szCs w:val="28"/>
          <w:shd w:val="clear" w:color="auto" w:fill="FFFFFF"/>
          <w:lang w:val="ru-RU"/>
        </w:rPr>
      </w:pPr>
      <w:r w:rsidRPr="00D103C8">
        <w:rPr>
          <w:sz w:val="24"/>
          <w:szCs w:val="28"/>
          <w:shd w:val="clear" w:color="auto" w:fill="FFFFFF"/>
          <w:lang w:val="ru-RU"/>
        </w:rPr>
        <w:t>Рис. 3. Динамика кальция в митохондриях активированных тромбоцитов.</w:t>
      </w:r>
    </w:p>
    <w:p w:rsidR="008B4C64" w:rsidRPr="008B4C64" w:rsidRDefault="008B4C64" w:rsidP="008B4C64">
      <w:pPr>
        <w:pStyle w:val="Default"/>
        <w:spacing w:line="360" w:lineRule="auto"/>
        <w:ind w:firstLine="709"/>
        <w:rPr>
          <w:highlight w:val="yellow"/>
        </w:rPr>
      </w:pPr>
    </w:p>
    <w:p w:rsidR="008B4C64" w:rsidRPr="008B4C64" w:rsidRDefault="008B4C64" w:rsidP="008B4C64">
      <w:pPr>
        <w:pStyle w:val="Default"/>
        <w:spacing w:line="360" w:lineRule="auto"/>
        <w:ind w:firstLine="709"/>
        <w:rPr>
          <w:szCs w:val="28"/>
        </w:rPr>
      </w:pPr>
      <w:r w:rsidRPr="008B4C64">
        <w:rPr>
          <w:szCs w:val="28"/>
        </w:rPr>
        <w:t>4) Выявлен физиологический смысл присутствия двух тромбиновых рецепторов PAR1 и PAR4 на мембране тромбоцитов. Комбинация быстрого, нестабильного и высокоаффинного PAR1 с PAR4 дает быстрый, стабильный и зависящий от концентрации ответ (Рис. 4).</w:t>
      </w:r>
    </w:p>
    <w:p w:rsidR="008B4C64" w:rsidRPr="008B4C64" w:rsidRDefault="008B4C64" w:rsidP="008B4C64">
      <w:pPr>
        <w:spacing w:line="360" w:lineRule="auto"/>
        <w:jc w:val="center"/>
        <w:rPr>
          <w:sz w:val="28"/>
          <w:szCs w:val="28"/>
          <w:lang w:val="ru-RU"/>
        </w:rPr>
      </w:pPr>
      <w:r w:rsidRPr="008B4C64">
        <w:rPr>
          <w:noProof/>
          <w:lang w:val="ru-RU" w:eastAsia="ru-RU"/>
        </w:rPr>
        <w:drawing>
          <wp:inline distT="0" distB="0" distL="0" distR="0" wp14:anchorId="40039BF3" wp14:editId="658287CD">
            <wp:extent cx="3742055" cy="2878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7" b="5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64" w:rsidRDefault="008B4C64" w:rsidP="008B4C64">
      <w:pPr>
        <w:spacing w:line="360" w:lineRule="auto"/>
        <w:ind w:firstLine="709"/>
        <w:rPr>
          <w:sz w:val="24"/>
          <w:szCs w:val="28"/>
          <w:lang w:val="ru-RU"/>
        </w:rPr>
      </w:pPr>
      <w:r w:rsidRPr="00D103C8">
        <w:rPr>
          <w:sz w:val="24"/>
          <w:szCs w:val="28"/>
          <w:lang w:val="ru-RU"/>
        </w:rPr>
        <w:t xml:space="preserve">Рис. 4. Зависимость ответа тромбоцитов на стимуляцию рецепторов </w:t>
      </w:r>
      <w:r w:rsidRPr="008B4C64">
        <w:rPr>
          <w:sz w:val="24"/>
          <w:szCs w:val="28"/>
        </w:rPr>
        <w:t>PAR</w:t>
      </w:r>
      <w:r w:rsidRPr="00D103C8">
        <w:rPr>
          <w:sz w:val="24"/>
          <w:szCs w:val="28"/>
          <w:lang w:val="ru-RU"/>
        </w:rPr>
        <w:t xml:space="preserve">1 и </w:t>
      </w:r>
      <w:r w:rsidRPr="008B4C64">
        <w:rPr>
          <w:sz w:val="24"/>
          <w:szCs w:val="28"/>
        </w:rPr>
        <w:t>PAR</w:t>
      </w:r>
      <w:r w:rsidRPr="00D103C8">
        <w:rPr>
          <w:sz w:val="24"/>
          <w:szCs w:val="28"/>
          <w:lang w:val="ru-RU"/>
        </w:rPr>
        <w:t>4 от дозы тромбина и времени.</w:t>
      </w:r>
    </w:p>
    <w:p w:rsidR="008B4C64" w:rsidRPr="008B4C64" w:rsidRDefault="008B4C64" w:rsidP="008B4C64">
      <w:pPr>
        <w:spacing w:line="360" w:lineRule="auto"/>
        <w:ind w:firstLine="709"/>
        <w:rPr>
          <w:sz w:val="24"/>
          <w:szCs w:val="28"/>
          <w:lang w:val="ru-RU"/>
        </w:rPr>
      </w:pPr>
    </w:p>
    <w:p w:rsidR="008B4C64" w:rsidRPr="008B4C64" w:rsidRDefault="008B4C64" w:rsidP="008B4C64">
      <w:pPr>
        <w:spacing w:line="360" w:lineRule="auto"/>
        <w:ind w:firstLine="709"/>
        <w:rPr>
          <w:iCs/>
          <w:sz w:val="24"/>
          <w:szCs w:val="28"/>
          <w:lang w:val="ru-RU"/>
        </w:rPr>
      </w:pPr>
      <w:r w:rsidRPr="008B4C64">
        <w:rPr>
          <w:iCs/>
          <w:sz w:val="24"/>
          <w:szCs w:val="28"/>
          <w:lang w:val="ru-RU"/>
        </w:rPr>
        <w:t xml:space="preserve">5) Внесение мутаций (в частности, замены </w:t>
      </w:r>
      <w:r w:rsidRPr="008B4C64">
        <w:rPr>
          <w:iCs/>
          <w:sz w:val="24"/>
          <w:szCs w:val="28"/>
        </w:rPr>
        <w:t>Phe</w:t>
      </w:r>
      <w:r w:rsidRPr="008B4C64">
        <w:rPr>
          <w:iCs/>
          <w:sz w:val="24"/>
          <w:szCs w:val="28"/>
          <w:lang w:val="ru-RU"/>
        </w:rPr>
        <w:t>9</w:t>
      </w:r>
      <w:r w:rsidRPr="008B4C64">
        <w:rPr>
          <w:iCs/>
          <w:sz w:val="24"/>
          <w:szCs w:val="28"/>
        </w:rPr>
        <w:t>Thr</w:t>
      </w:r>
      <w:r w:rsidRPr="008B4C64">
        <w:rPr>
          <w:iCs/>
          <w:sz w:val="24"/>
          <w:szCs w:val="28"/>
          <w:lang w:val="ru-RU"/>
        </w:rPr>
        <w:t xml:space="preserve">) в протеаза-связывающую петлю инфестина-4 (ингибитора фактора свертывания </w:t>
      </w:r>
      <w:r w:rsidRPr="008B4C64">
        <w:rPr>
          <w:iCs/>
          <w:sz w:val="24"/>
          <w:szCs w:val="28"/>
        </w:rPr>
        <w:t>XIIa</w:t>
      </w:r>
      <w:r w:rsidRPr="008B4C64">
        <w:rPr>
          <w:iCs/>
          <w:sz w:val="24"/>
          <w:szCs w:val="28"/>
          <w:lang w:val="ru-RU"/>
        </w:rPr>
        <w:t xml:space="preserve">) приводит к стабилизации петли в канонической конформации и к увеличению селективности к фактору </w:t>
      </w:r>
      <w:r w:rsidRPr="008B4C64">
        <w:rPr>
          <w:iCs/>
          <w:sz w:val="24"/>
          <w:szCs w:val="28"/>
        </w:rPr>
        <w:t>XIIa</w:t>
      </w:r>
      <w:r w:rsidRPr="008B4C64">
        <w:rPr>
          <w:iCs/>
          <w:sz w:val="24"/>
          <w:szCs w:val="28"/>
          <w:lang w:val="ru-RU"/>
        </w:rPr>
        <w:t xml:space="preserve"> на два порядка (Рис. 5).</w:t>
      </w:r>
    </w:p>
    <w:p w:rsidR="008B4C64" w:rsidRPr="008B4C64" w:rsidRDefault="008B4C64" w:rsidP="008B4C64">
      <w:pPr>
        <w:spacing w:line="360" w:lineRule="auto"/>
        <w:jc w:val="center"/>
        <w:rPr>
          <w:noProof/>
          <w:sz w:val="28"/>
          <w:szCs w:val="28"/>
          <w:lang w:val="ru-RU" w:eastAsia="ru-RU"/>
        </w:rPr>
      </w:pPr>
      <w:r w:rsidRPr="008B4C64">
        <w:rPr>
          <w:noProof/>
          <w:lang w:val="ru-RU" w:eastAsia="ru-RU"/>
        </w:rPr>
        <w:drawing>
          <wp:inline distT="0" distB="0" distL="0" distR="0" wp14:anchorId="5BA0AB19" wp14:editId="3DD0BFF0">
            <wp:extent cx="3750945" cy="2768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0" t="30591" r="31490" b="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64" w:rsidRPr="00D103C8" w:rsidRDefault="008B4C64" w:rsidP="008B4C64">
      <w:pPr>
        <w:spacing w:line="360" w:lineRule="auto"/>
        <w:ind w:firstLine="709"/>
        <w:rPr>
          <w:noProof/>
          <w:sz w:val="24"/>
          <w:szCs w:val="28"/>
          <w:lang w:val="ru-RU" w:eastAsia="ru-RU"/>
        </w:rPr>
      </w:pPr>
      <w:r w:rsidRPr="00D103C8">
        <w:rPr>
          <w:noProof/>
          <w:sz w:val="24"/>
          <w:szCs w:val="28"/>
          <w:lang w:val="ru-RU" w:eastAsia="ru-RU"/>
        </w:rPr>
        <w:t>Рис. 5. Мутанты инфестина-4 не ингибируют активность фактора Ха.</w:t>
      </w:r>
    </w:p>
    <w:p w:rsidR="00B023E5" w:rsidRDefault="00B023E5" w:rsidP="00B023E5">
      <w:pPr>
        <w:spacing w:line="360" w:lineRule="auto"/>
        <w:ind w:firstLine="709"/>
        <w:rPr>
          <w:sz w:val="24"/>
          <w:lang w:val="ru-RU"/>
        </w:rPr>
      </w:pPr>
    </w:p>
    <w:p w:rsidR="00720A39" w:rsidRPr="00720A39" w:rsidRDefault="00720A39" w:rsidP="00720A39">
      <w:pPr>
        <w:spacing w:line="360" w:lineRule="auto"/>
        <w:ind w:firstLine="709"/>
        <w:rPr>
          <w:iCs/>
          <w:sz w:val="24"/>
          <w:szCs w:val="28"/>
          <w:lang w:val="ru-RU"/>
        </w:rPr>
      </w:pPr>
      <w:r>
        <w:rPr>
          <w:iCs/>
          <w:sz w:val="24"/>
          <w:szCs w:val="28"/>
          <w:lang w:val="ru-RU"/>
        </w:rPr>
        <w:t xml:space="preserve">6) </w:t>
      </w:r>
      <w:r w:rsidRPr="00720A39">
        <w:rPr>
          <w:iCs/>
          <w:sz w:val="24"/>
          <w:szCs w:val="28"/>
          <w:lang w:val="ru-RU"/>
        </w:rPr>
        <w:t>Установлено, что С-концевой фрагмент белка CENP-F (белок необходим для движения хромосом и митохондрий с концами микротрубочек при делении клеток), содержащий сайты связывания микротрубочки и митохондрии, может передвигать груз как на растущих, так и на укорачивающихся концах микротрубочек. Установлено, что механизм такого движения связан с повышенной аффинностью микротрубочко-связывающего сайта CENP-F к торцевой поверхности димера тубулина, которая обнажается исключительно на растущих концах микротрубочек и замаскирована в полимеризованных димерах, образующих стенку микротрубочки. Предложенный механизм является принципиально новым и предлагает новую модель движения клеточных органелл, использующую в качестве источника энергии ГТФ-азную активность тубулина.</w:t>
      </w:r>
    </w:p>
    <w:p w:rsidR="00720A39" w:rsidRDefault="00720A39" w:rsidP="00B023E5">
      <w:pPr>
        <w:spacing w:line="360" w:lineRule="auto"/>
        <w:ind w:firstLine="709"/>
        <w:rPr>
          <w:sz w:val="24"/>
          <w:lang w:val="ru-RU"/>
        </w:rPr>
      </w:pPr>
    </w:p>
    <w:p w:rsidR="004258B8" w:rsidRDefault="004258B8" w:rsidP="00B023E5">
      <w:pPr>
        <w:spacing w:line="360" w:lineRule="auto"/>
        <w:ind w:firstLine="709"/>
        <w:rPr>
          <w:sz w:val="24"/>
          <w:lang w:val="ru-RU"/>
        </w:rPr>
      </w:pPr>
    </w:p>
    <w:p w:rsidR="00ED3DC2" w:rsidRPr="00FD466D" w:rsidRDefault="00ED3DC2" w:rsidP="00FD466D">
      <w:pPr>
        <w:pStyle w:val="Heading2"/>
        <w:spacing w:before="0" w:line="360" w:lineRule="auto"/>
        <w:rPr>
          <w:rFonts w:ascii="Times New Roman" w:hAnsi="Times New Roman"/>
          <w:color w:val="auto"/>
          <w:sz w:val="28"/>
          <w:lang w:val="ru-RU"/>
        </w:rPr>
      </w:pPr>
      <w:bookmarkStart w:id="5" w:name="_Toc473557122"/>
      <w:r w:rsidRPr="00FD466D">
        <w:rPr>
          <w:rFonts w:ascii="Times New Roman" w:hAnsi="Times New Roman"/>
          <w:color w:val="auto"/>
          <w:sz w:val="28"/>
          <w:lang w:val="ru-RU"/>
        </w:rPr>
        <w:lastRenderedPageBreak/>
        <w:t>Выводы</w:t>
      </w:r>
      <w:bookmarkEnd w:id="5"/>
    </w:p>
    <w:p w:rsidR="00F42834" w:rsidRDefault="00B537E3" w:rsidP="00F42834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1) Показано н</w:t>
      </w:r>
      <w:r w:rsidR="00F42834" w:rsidRPr="00F42834">
        <w:rPr>
          <w:sz w:val="24"/>
          <w:szCs w:val="24"/>
          <w:lang w:val="ru-RU"/>
        </w:rPr>
        <w:t>аличие бистабильного реакционно-диффузного механизма регуляции раб</w:t>
      </w:r>
      <w:r w:rsidR="00F42834">
        <w:rPr>
          <w:sz w:val="24"/>
          <w:szCs w:val="24"/>
          <w:lang w:val="ru-RU"/>
        </w:rPr>
        <w:t>оты клеточной киназы авроры Б.</w:t>
      </w:r>
    </w:p>
    <w:p w:rsidR="00F42834" w:rsidRPr="00F42834" w:rsidRDefault="00F42834" w:rsidP="00F42834">
      <w:pPr>
        <w:spacing w:line="360" w:lineRule="auto"/>
        <w:ind w:firstLine="709"/>
        <w:rPr>
          <w:sz w:val="24"/>
          <w:szCs w:val="24"/>
          <w:lang w:val="ru-RU"/>
        </w:rPr>
      </w:pPr>
      <w:r w:rsidRPr="00F42834">
        <w:rPr>
          <w:sz w:val="24"/>
          <w:szCs w:val="24"/>
          <w:lang w:val="ru-RU"/>
        </w:rPr>
        <w:t xml:space="preserve">2) </w:t>
      </w:r>
      <w:r w:rsidR="00B537E3">
        <w:rPr>
          <w:sz w:val="24"/>
          <w:szCs w:val="24"/>
          <w:lang w:val="ru-RU"/>
        </w:rPr>
        <w:t>О</w:t>
      </w:r>
      <w:r w:rsidRPr="00F42834">
        <w:rPr>
          <w:sz w:val="24"/>
          <w:szCs w:val="24"/>
          <w:lang w:val="ru-RU"/>
        </w:rPr>
        <w:t>бнаружен новый механизм движения клеточных органелл, использующий в качестве источника энергии ГТФ-азную активность тубулина.</w:t>
      </w:r>
    </w:p>
    <w:p w:rsidR="00F42834" w:rsidRDefault="00F42834" w:rsidP="00F42834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</w:t>
      </w:r>
      <w:r w:rsidR="00B537E3">
        <w:rPr>
          <w:sz w:val="24"/>
          <w:szCs w:val="24"/>
          <w:lang w:val="ru-RU"/>
        </w:rPr>
        <w:t>) П</w:t>
      </w:r>
      <w:r w:rsidRPr="00F42834">
        <w:rPr>
          <w:sz w:val="24"/>
          <w:szCs w:val="24"/>
          <w:lang w:val="ru-RU"/>
        </w:rPr>
        <w:t>оказано, что за счет локализации белков свертывания крови на малой части поверхности прокоагулянтных тромбоцитов происходит многократное ускорение мембранно-зависим</w:t>
      </w:r>
      <w:r>
        <w:rPr>
          <w:sz w:val="24"/>
          <w:szCs w:val="24"/>
          <w:lang w:val="ru-RU"/>
        </w:rPr>
        <w:t>ых реакций системы свертывания.</w:t>
      </w:r>
    </w:p>
    <w:p w:rsidR="00F42834" w:rsidRDefault="00F42834" w:rsidP="00F42834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B537E3">
        <w:rPr>
          <w:sz w:val="24"/>
          <w:szCs w:val="24"/>
          <w:lang w:val="ru-RU"/>
        </w:rPr>
        <w:t>) Д</w:t>
      </w:r>
      <w:r w:rsidRPr="00F42834">
        <w:rPr>
          <w:sz w:val="24"/>
          <w:szCs w:val="24"/>
          <w:lang w:val="ru-RU"/>
        </w:rPr>
        <w:t>инамика поглощения ионов кальция митохондриями в процессе активации тромбоцитов является определяющей в вопросе формирования субпопуля</w:t>
      </w:r>
      <w:r>
        <w:rPr>
          <w:sz w:val="24"/>
          <w:szCs w:val="24"/>
          <w:lang w:val="ru-RU"/>
        </w:rPr>
        <w:t>ций активированных тромбоцитов.</w:t>
      </w:r>
    </w:p>
    <w:p w:rsidR="00F42834" w:rsidRDefault="00F42834" w:rsidP="00F42834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</w:t>
      </w:r>
      <w:r w:rsidR="00B537E3">
        <w:rPr>
          <w:sz w:val="24"/>
          <w:szCs w:val="24"/>
          <w:lang w:val="ru-RU"/>
        </w:rPr>
        <w:t xml:space="preserve">) </w:t>
      </w:r>
      <w:bookmarkStart w:id="6" w:name="_GoBack"/>
      <w:bookmarkEnd w:id="6"/>
      <w:r w:rsidR="00B537E3">
        <w:rPr>
          <w:sz w:val="24"/>
          <w:szCs w:val="24"/>
          <w:lang w:val="ru-RU"/>
        </w:rPr>
        <w:t>К</w:t>
      </w:r>
      <w:r w:rsidRPr="00F42834">
        <w:rPr>
          <w:sz w:val="24"/>
          <w:szCs w:val="24"/>
          <w:lang w:val="ru-RU"/>
        </w:rPr>
        <w:t>омбинация двух мембранных рецепторов на тромбоцитах PAR1 и PAR4 необходима для обеспечения порогового ответа тромб</w:t>
      </w:r>
      <w:r>
        <w:rPr>
          <w:sz w:val="24"/>
          <w:szCs w:val="24"/>
          <w:lang w:val="ru-RU"/>
        </w:rPr>
        <w:t>оцитов на активирующий сигнал.</w:t>
      </w:r>
    </w:p>
    <w:p w:rsidR="00ED3DC2" w:rsidRPr="00ED3DC2" w:rsidRDefault="00F42834" w:rsidP="00F42834">
      <w:pPr>
        <w:spacing w:line="360" w:lineRule="auto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B537E3">
        <w:rPr>
          <w:sz w:val="24"/>
          <w:szCs w:val="24"/>
          <w:lang w:val="ru-RU"/>
        </w:rPr>
        <w:t>) О</w:t>
      </w:r>
      <w:r w:rsidRPr="00F42834">
        <w:rPr>
          <w:sz w:val="24"/>
          <w:szCs w:val="24"/>
          <w:lang w:val="ru-RU"/>
        </w:rPr>
        <w:t>бнаружен способ увеличения селективности ингибиторов фактора XII за счет внесения изменений в в протеаза-связывающую петлю инфестина-4.</w:t>
      </w:r>
      <w:r w:rsidR="00ED3DC2" w:rsidRPr="00ED3DC2">
        <w:rPr>
          <w:sz w:val="24"/>
          <w:szCs w:val="24"/>
          <w:lang w:val="ru-RU"/>
        </w:rPr>
        <w:br w:type="page"/>
      </w:r>
    </w:p>
    <w:p w:rsidR="00ED3DC2" w:rsidRPr="009E4076" w:rsidRDefault="00ED3DC2" w:rsidP="009E4076">
      <w:pPr>
        <w:pStyle w:val="Heading2"/>
        <w:spacing w:after="120"/>
        <w:rPr>
          <w:rFonts w:ascii="Times New Roman" w:hAnsi="Times New Roman"/>
          <w:color w:val="auto"/>
          <w:sz w:val="28"/>
          <w:szCs w:val="24"/>
        </w:rPr>
      </w:pPr>
      <w:bookmarkStart w:id="7" w:name="_Toc473557123"/>
      <w:r w:rsidRPr="009E4076">
        <w:rPr>
          <w:rFonts w:ascii="Times New Roman" w:hAnsi="Times New Roman"/>
          <w:color w:val="auto"/>
          <w:sz w:val="28"/>
          <w:szCs w:val="24"/>
        </w:rPr>
        <w:lastRenderedPageBreak/>
        <w:t>Список использованных источников</w:t>
      </w:r>
      <w:bookmarkEnd w:id="7"/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Cimini M, Fazel S, Fujii H, Zhou S, Tang G, Weisel RD, Li RK. The MRL mouse heart does not recover ventricular function after a myocardial infarction. </w:t>
      </w:r>
      <w:r w:rsidRPr="00B91878">
        <w:rPr>
          <w:sz w:val="24"/>
          <w:szCs w:val="24"/>
        </w:rPr>
        <w:t>Cardiovasc Pathol. 2008 Jan-Feb;17(1):32-9.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Weaver BA, Cleveland DW. Does aneuploidy cause cancer? Curr Opin Cell Biol. 2006 Dec;18(6):658-67.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lang w:val="en-US"/>
        </w:rPr>
      </w:pPr>
      <w:r w:rsidRPr="00B91878">
        <w:rPr>
          <w:sz w:val="24"/>
          <w:szCs w:val="24"/>
          <w:lang w:val="en-US"/>
        </w:rPr>
        <w:t>Nicholson JM, Cimini D. Cancer karyotypes: survival of the fittest. Front Oncol. 2013 Jun 7;3:148.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Lobanova ES, Ataullakhanov FI. Unstable trigger waves induce various intricate dynamic regimes in a reaction-diffusion system of blood clotting. </w:t>
      </w:r>
      <w:r w:rsidRPr="00B91878">
        <w:rPr>
          <w:sz w:val="24"/>
          <w:szCs w:val="24"/>
        </w:rPr>
        <w:t>Phys Rev Lett. 2003 Sep 26;91(13):138301.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Lobanova ES, Ataullakhanov FI. Running pulses of complex shape in a reaction-diffusion model. </w:t>
      </w:r>
      <w:r w:rsidRPr="00B91878">
        <w:rPr>
          <w:sz w:val="24"/>
          <w:szCs w:val="24"/>
        </w:rPr>
        <w:t>Phys Rev Lett. 2004 Aug 27;93(9):098303.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</w:rPr>
        <w:t>Атауллаханов Ф.И., Лобанова Е.С., Морозова О.Л., Шноль Э.Э., Ермакова Е.А., Бутылин А.А., Заикин А.Н. Сложные режимы распространения возбуждения и самоорганизации в модели свертывания крови. Успехи физических наук. 2007;177(1):87-104.</w:t>
      </w:r>
    </w:p>
    <w:p w:rsidR="00513773" w:rsidRPr="00B91878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>Ataullakhanov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FI</w:t>
      </w:r>
      <w:r w:rsidRPr="00513773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Dashkevich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NM</w:t>
      </w:r>
      <w:r w:rsidRPr="00513773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Negrier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C</w:t>
      </w:r>
      <w:r w:rsidRPr="00513773">
        <w:rPr>
          <w:sz w:val="24"/>
          <w:szCs w:val="24"/>
          <w:lang w:val="en-US"/>
        </w:rPr>
        <w:t xml:space="preserve">, </w:t>
      </w:r>
      <w:r w:rsidRPr="00B91878">
        <w:rPr>
          <w:sz w:val="24"/>
          <w:szCs w:val="24"/>
          <w:lang w:val="en-US"/>
        </w:rPr>
        <w:t>Panteleev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MA</w:t>
      </w:r>
      <w:r w:rsidRPr="00513773">
        <w:rPr>
          <w:sz w:val="24"/>
          <w:szCs w:val="24"/>
          <w:lang w:val="en-US"/>
        </w:rPr>
        <w:t xml:space="preserve">. </w:t>
      </w:r>
      <w:r w:rsidRPr="00B91878">
        <w:rPr>
          <w:sz w:val="24"/>
          <w:szCs w:val="24"/>
          <w:lang w:val="en-US"/>
        </w:rPr>
        <w:t>Factor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XI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and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>traveling</w:t>
      </w:r>
      <w:r w:rsidRPr="00513773">
        <w:rPr>
          <w:sz w:val="24"/>
          <w:szCs w:val="24"/>
          <w:lang w:val="en-US"/>
        </w:rPr>
        <w:t xml:space="preserve"> </w:t>
      </w:r>
      <w:r w:rsidRPr="00B91878">
        <w:rPr>
          <w:sz w:val="24"/>
          <w:szCs w:val="24"/>
          <w:lang w:val="en-US"/>
        </w:rPr>
        <w:t xml:space="preserve">waves: the key to understanding coagulation in hemophilia? </w:t>
      </w:r>
      <w:r w:rsidRPr="00B91878">
        <w:rPr>
          <w:sz w:val="24"/>
          <w:szCs w:val="24"/>
        </w:rPr>
        <w:t>Expert Rev Hematol. 2013 Apr;6(2):111-3.</w:t>
      </w:r>
    </w:p>
    <w:p w:rsidR="00AC2E5B" w:rsidRPr="00513773" w:rsidRDefault="00513773" w:rsidP="00513773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B91878">
        <w:rPr>
          <w:sz w:val="24"/>
          <w:szCs w:val="24"/>
          <w:lang w:val="en-US"/>
        </w:rPr>
        <w:t xml:space="preserve">Dashkevich NM, Ovanesov MV, Balandina AN, Karamzin SS, Shestakov PI, Soshitova NP, Tokarev AA, Panteleev MA, Ataullakhanov FI. Thrombin activity propagates in space during blood coagulation as an excitation wave. </w:t>
      </w:r>
      <w:r w:rsidRPr="00B91878">
        <w:rPr>
          <w:sz w:val="24"/>
          <w:szCs w:val="24"/>
        </w:rPr>
        <w:t>Biophys J. 2012 Nov 21;103(10):2233-40.</w:t>
      </w:r>
    </w:p>
    <w:sectPr w:rsidR="00AC2E5B" w:rsidRPr="00513773">
      <w:footerReference w:type="default" r:id="rId12"/>
      <w:headerReference w:type="first" r:id="rId13"/>
      <w:footerReference w:type="first" r:id="rId14"/>
      <w:pgSz w:w="12240" w:h="15840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95C" w:rsidRDefault="00DF011F">
      <w:r>
        <w:separator/>
      </w:r>
    </w:p>
  </w:endnote>
  <w:endnote w:type="continuationSeparator" w:id="0">
    <w:p w:rsidR="00DF695C" w:rsidRDefault="00DF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ED3DC2">
    <w:pPr>
      <w:pStyle w:val="Footer"/>
      <w:jc w:val="cen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70485" cy="160655"/>
              <wp:effectExtent l="0" t="254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pStyle w:val="Footer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537E3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6" type="#_x0000_t202" style="position:absolute;left:0;text-align:left;margin-left:-45.65pt;margin-top:0;width:5.55pt;height:12.6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" filled="f" stroked="f">
              <v:textbox style="mso-fit-shape-to-text:t" inset="0,0,0,0">
                <w:txbxContent>
                  <w:p w:rsidR="00FF6752" w:rsidRDefault="001714A1">
                    <w:pPr>
                      <w:pStyle w:val="Footer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537E3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F6752" w:rsidRDefault="00B537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ED3DC2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31445"/>
              <wp:effectExtent l="2540" t="1270" r="0" b="635"/>
              <wp:wrapNone/>
              <wp:docPr id="9" name="Пол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6752" w:rsidRDefault="001714A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 w:rsidR="00B537E3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" o:spid="_x0000_s1027" type="#_x0000_t202" style="position:absolute;left:0;text-align:left;margin-left:-46.65pt;margin-top:0;width:4.55pt;height:10.35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DNuAIAAKw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" filled="f" stroked="f">
              <v:textbox style="mso-fit-shape-to-text:t" inset="0,0,0,0">
                <w:txbxContent>
                  <w:p w:rsidR="00FF6752" w:rsidRDefault="001714A1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B537E3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95C" w:rsidRDefault="00DF011F">
      <w:r>
        <w:separator/>
      </w:r>
    </w:p>
  </w:footnote>
  <w:footnote w:type="continuationSeparator" w:id="0">
    <w:p w:rsidR="00DF695C" w:rsidRDefault="00DF0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752" w:rsidRDefault="00B537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21229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5037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03F84"/>
    <w:multiLevelType w:val="hybridMultilevel"/>
    <w:tmpl w:val="49A6F4C0"/>
    <w:lvl w:ilvl="0" w:tplc="79BCB8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73B6082"/>
    <w:multiLevelType w:val="multilevel"/>
    <w:tmpl w:val="1022122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846AC"/>
    <w:multiLevelType w:val="hybridMultilevel"/>
    <w:tmpl w:val="529EF52C"/>
    <w:lvl w:ilvl="0" w:tplc="48F42EB6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12743"/>
    <w:multiLevelType w:val="multilevel"/>
    <w:tmpl w:val="DEBC5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122E5"/>
    <w:multiLevelType w:val="hybridMultilevel"/>
    <w:tmpl w:val="C0F88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95D"/>
    <w:rsid w:val="00034FB1"/>
    <w:rsid w:val="000765F3"/>
    <w:rsid w:val="00117870"/>
    <w:rsid w:val="001714A1"/>
    <w:rsid w:val="00185C19"/>
    <w:rsid w:val="001C66D4"/>
    <w:rsid w:val="002037CE"/>
    <w:rsid w:val="00222813"/>
    <w:rsid w:val="002D678E"/>
    <w:rsid w:val="0030530C"/>
    <w:rsid w:val="00305B67"/>
    <w:rsid w:val="003831A0"/>
    <w:rsid w:val="003E34CB"/>
    <w:rsid w:val="004118C2"/>
    <w:rsid w:val="0042459A"/>
    <w:rsid w:val="004258B8"/>
    <w:rsid w:val="00452017"/>
    <w:rsid w:val="004D52ED"/>
    <w:rsid w:val="00513773"/>
    <w:rsid w:val="005E35FF"/>
    <w:rsid w:val="00673B60"/>
    <w:rsid w:val="006762B0"/>
    <w:rsid w:val="00713C22"/>
    <w:rsid w:val="00720A39"/>
    <w:rsid w:val="007377D7"/>
    <w:rsid w:val="007A5B05"/>
    <w:rsid w:val="00834576"/>
    <w:rsid w:val="008419EA"/>
    <w:rsid w:val="008B4C64"/>
    <w:rsid w:val="0099057B"/>
    <w:rsid w:val="00993076"/>
    <w:rsid w:val="00996463"/>
    <w:rsid w:val="0099772B"/>
    <w:rsid w:val="009D3A0D"/>
    <w:rsid w:val="009E4076"/>
    <w:rsid w:val="00A076C1"/>
    <w:rsid w:val="00A0777A"/>
    <w:rsid w:val="00A34EBC"/>
    <w:rsid w:val="00A465F5"/>
    <w:rsid w:val="00AB1915"/>
    <w:rsid w:val="00AC2E5B"/>
    <w:rsid w:val="00AF495D"/>
    <w:rsid w:val="00B023E5"/>
    <w:rsid w:val="00B1392B"/>
    <w:rsid w:val="00B3033D"/>
    <w:rsid w:val="00B358E2"/>
    <w:rsid w:val="00B537E3"/>
    <w:rsid w:val="00BB6622"/>
    <w:rsid w:val="00C51516"/>
    <w:rsid w:val="00CC5D9E"/>
    <w:rsid w:val="00D103C8"/>
    <w:rsid w:val="00D1792A"/>
    <w:rsid w:val="00D23244"/>
    <w:rsid w:val="00DB4377"/>
    <w:rsid w:val="00DF011F"/>
    <w:rsid w:val="00DF695C"/>
    <w:rsid w:val="00E1402F"/>
    <w:rsid w:val="00EA0A62"/>
    <w:rsid w:val="00ED3DC2"/>
    <w:rsid w:val="00F22345"/>
    <w:rsid w:val="00F42834"/>
    <w:rsid w:val="00F669D1"/>
    <w:rsid w:val="00FD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D4B16C0"/>
  <w15:docId w15:val="{4DE87B04-66FF-4FAC-B629-736372AA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DC2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D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DC2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DC2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D3DC2"/>
    <w:rPr>
      <w:rFonts w:ascii="Calibri Light" w:eastAsia="Times New Roman" w:hAnsi="Calibri Light" w:cs="Times New Roman"/>
      <w:b/>
      <w:bCs/>
      <w:color w:val="5B9BD5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D3DC2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BodyText">
    <w:name w:val="Body Text"/>
    <w:basedOn w:val="Normal"/>
    <w:link w:val="BodyTextChar"/>
    <w:rsid w:val="00ED3DC2"/>
    <w:pPr>
      <w:jc w:val="left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rsid w:val="00ED3DC2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D3DC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3DC2"/>
    <w:rPr>
      <w:rFonts w:ascii="Times New Roman" w:eastAsia="Times New Roman" w:hAnsi="Times New Roman" w:cs="Times New Roman"/>
      <w:lang w:val="en-US"/>
    </w:rPr>
  </w:style>
  <w:style w:type="paragraph" w:styleId="TOC2">
    <w:name w:val="toc 2"/>
    <w:basedOn w:val="Normal"/>
    <w:next w:val="Normal"/>
    <w:uiPriority w:val="39"/>
    <w:unhideWhenUsed/>
    <w:rsid w:val="00ED3DC2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D3D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D3DC2"/>
    <w:rPr>
      <w:color w:val="0563C1"/>
      <w:u w:val="single"/>
    </w:rPr>
  </w:style>
  <w:style w:type="paragraph" w:customStyle="1" w:styleId="1">
    <w:name w:val="Абзац списка1"/>
    <w:basedOn w:val="Normal"/>
    <w:qFormat/>
    <w:rsid w:val="00ED3DC2"/>
    <w:pPr>
      <w:ind w:left="720"/>
      <w:contextualSpacing/>
      <w:jc w:val="left"/>
    </w:pPr>
    <w:rPr>
      <w:sz w:val="24"/>
      <w:szCs w:val="24"/>
    </w:rPr>
  </w:style>
  <w:style w:type="paragraph" w:customStyle="1" w:styleId="10">
    <w:name w:val="Заголовок оглавления1"/>
    <w:basedOn w:val="Heading1"/>
    <w:next w:val="Normal"/>
    <w:uiPriority w:val="39"/>
    <w:semiHidden/>
    <w:unhideWhenUsed/>
    <w:qFormat/>
    <w:rsid w:val="00ED3DC2"/>
    <w:pPr>
      <w:spacing w:line="276" w:lineRule="auto"/>
      <w:jc w:val="left"/>
      <w:outlineLvl w:val="9"/>
    </w:pPr>
    <w:rPr>
      <w:rFonts w:ascii="Calibri Light" w:eastAsia="Times New Roman" w:hAnsi="Calibri Light" w:cs="Times New Roman"/>
      <w:color w:val="2D73B3"/>
    </w:rPr>
  </w:style>
  <w:style w:type="character" w:customStyle="1" w:styleId="Heading1Char">
    <w:name w:val="Heading 1 Char"/>
    <w:basedOn w:val="DefaultParagraphFont"/>
    <w:link w:val="Heading1"/>
    <w:uiPriority w:val="9"/>
    <w:rsid w:val="00ED3D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D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DC2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qFormat/>
    <w:rsid w:val="003E34CB"/>
    <w:pPr>
      <w:ind w:left="720"/>
      <w:contextualSpacing/>
    </w:pPr>
    <w:rPr>
      <w:lang w:val="ru-RU"/>
    </w:rPr>
  </w:style>
  <w:style w:type="paragraph" w:styleId="Bibliography">
    <w:name w:val="Bibliography"/>
    <w:basedOn w:val="Normal"/>
    <w:next w:val="Normal"/>
    <w:uiPriority w:val="37"/>
    <w:semiHidden/>
    <w:unhideWhenUsed/>
    <w:rsid w:val="00AC2E5B"/>
  </w:style>
  <w:style w:type="paragraph" w:customStyle="1" w:styleId="zag3">
    <w:name w:val="zag3"/>
    <w:basedOn w:val="Normal"/>
    <w:rsid w:val="006762B0"/>
    <w:pPr>
      <w:widowControl w:val="0"/>
      <w:spacing w:before="240" w:after="240"/>
      <w:jc w:val="center"/>
    </w:pPr>
    <w:rPr>
      <w:kern w:val="2"/>
      <w:sz w:val="24"/>
      <w:szCs w:val="24"/>
      <w:lang w:eastAsia="zh-CN"/>
    </w:rPr>
  </w:style>
  <w:style w:type="paragraph" w:customStyle="1" w:styleId="Default">
    <w:name w:val="Default"/>
    <w:rsid w:val="008B4C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HP_2</dc:creator>
  <cp:keywords/>
  <dc:description/>
  <cp:lastModifiedBy>U1</cp:lastModifiedBy>
  <cp:revision>58</cp:revision>
  <dcterms:created xsi:type="dcterms:W3CDTF">2017-01-27T10:53:00Z</dcterms:created>
  <dcterms:modified xsi:type="dcterms:W3CDTF">2017-01-30T20:13:00Z</dcterms:modified>
</cp:coreProperties>
</file>