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3DC2" w:rsidRPr="00ED3DC2" w:rsidRDefault="00ED3DC2" w:rsidP="00ED3DC2">
      <w:pPr>
        <w:spacing w:line="360" w:lineRule="auto"/>
        <w:ind w:firstLine="540"/>
        <w:jc w:val="center"/>
        <w:rPr>
          <w:b/>
          <w:lang w:val="ru-RU"/>
        </w:rPr>
      </w:pPr>
      <w:r w:rsidRPr="00ED3DC2">
        <w:rPr>
          <w:b/>
          <w:lang w:val="ru-RU"/>
        </w:rPr>
        <w:t>Федеральное государственное бюджетное учреждение науки</w:t>
      </w:r>
    </w:p>
    <w:p w:rsidR="00ED3DC2" w:rsidRPr="00ED3DC2" w:rsidRDefault="00ED3DC2" w:rsidP="00ED3DC2">
      <w:pPr>
        <w:spacing w:line="360" w:lineRule="auto"/>
        <w:ind w:firstLine="540"/>
        <w:jc w:val="center"/>
        <w:rPr>
          <w:b/>
          <w:lang w:val="ru-RU"/>
        </w:rPr>
      </w:pPr>
      <w:r w:rsidRPr="00ED3DC2">
        <w:rPr>
          <w:b/>
          <w:lang w:val="ru-RU"/>
        </w:rPr>
        <w:t>Центр теоретических проблем Физико-химической фармакологии</w:t>
      </w:r>
    </w:p>
    <w:p w:rsidR="00ED3DC2" w:rsidRPr="00ED3DC2" w:rsidRDefault="00ED3DC2" w:rsidP="00ED3DC2">
      <w:pPr>
        <w:spacing w:line="360" w:lineRule="auto"/>
        <w:ind w:firstLine="540"/>
        <w:jc w:val="center"/>
        <w:rPr>
          <w:b/>
        </w:rPr>
      </w:pPr>
      <w:r w:rsidRPr="00ED3DC2">
        <w:rPr>
          <w:b/>
        </w:rPr>
        <w:t>Российской академии наук</w:t>
      </w:r>
    </w:p>
    <w:p w:rsidR="00ED3DC2" w:rsidRPr="00ED3DC2" w:rsidRDefault="00ED3DC2" w:rsidP="00ED3DC2">
      <w:pPr>
        <w:spacing w:line="360" w:lineRule="auto"/>
        <w:ind w:firstLine="540"/>
        <w:jc w:val="center"/>
        <w:rPr>
          <w:b/>
        </w:rPr>
      </w:pPr>
    </w:p>
    <w:p w:rsidR="00ED3DC2" w:rsidRPr="00ED3DC2" w:rsidRDefault="00ED3DC2" w:rsidP="00ED3DC2">
      <w:pPr>
        <w:spacing w:line="360" w:lineRule="auto"/>
        <w:ind w:firstLine="540"/>
        <w:jc w:val="center"/>
        <w:rPr>
          <w:b/>
        </w:rPr>
      </w:pPr>
    </w:p>
    <w:tbl>
      <w:tblPr>
        <w:tblW w:w="946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40"/>
        <w:gridCol w:w="1440"/>
        <w:gridCol w:w="3888"/>
      </w:tblGrid>
      <w:tr w:rsidR="00ED3DC2" w:rsidRPr="00355D8C" w:rsidTr="00CD00B8">
        <w:trPr>
          <w:trHeight w:val="2506"/>
        </w:trPr>
        <w:tc>
          <w:tcPr>
            <w:tcW w:w="4140" w:type="dxa"/>
          </w:tcPr>
          <w:p w:rsidR="00ED3DC2" w:rsidRDefault="00ED3DC2" w:rsidP="00CD00B8">
            <w:pPr>
              <w:widowControl w:val="0"/>
              <w:autoSpaceDE w:val="0"/>
              <w:autoSpaceDN w:val="0"/>
              <w:adjustRightInd w:val="0"/>
              <w:rPr>
                <w:color w:val="333333"/>
                <w:sz w:val="24"/>
                <w:szCs w:val="24"/>
              </w:rPr>
            </w:pPr>
            <w:r w:rsidRPr="00185C19">
              <w:rPr>
                <w:color w:val="000000"/>
                <w:sz w:val="24"/>
                <w:szCs w:val="24"/>
              </w:rPr>
              <w:t xml:space="preserve">УДК: </w:t>
            </w:r>
            <w:r w:rsidR="003831A0" w:rsidRPr="003831A0">
              <w:rPr>
                <w:color w:val="333333"/>
                <w:sz w:val="24"/>
                <w:szCs w:val="24"/>
              </w:rPr>
              <w:t xml:space="preserve">577.3.01    </w:t>
            </w:r>
          </w:p>
          <w:p w:rsidR="003831A0" w:rsidRPr="00185C19" w:rsidRDefault="003831A0" w:rsidP="00CD00B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3831A0" w:rsidRDefault="003831A0" w:rsidP="00CD00B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831A0">
              <w:rPr>
                <w:color w:val="000000"/>
                <w:sz w:val="24"/>
                <w:szCs w:val="24"/>
              </w:rPr>
              <w:t xml:space="preserve">№ ГР №  0120.0  950252  </w:t>
            </w:r>
          </w:p>
          <w:p w:rsidR="00ED3DC2" w:rsidRPr="00355D8C" w:rsidRDefault="00355D8C" w:rsidP="00CD00B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ru-RU"/>
              </w:rPr>
            </w:pPr>
            <w:r w:rsidRPr="00185C19">
              <w:rPr>
                <w:color w:val="000000"/>
                <w:sz w:val="24"/>
                <w:szCs w:val="24"/>
              </w:rPr>
              <w:t>Инв. №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3831A0">
              <w:rPr>
                <w:sz w:val="24"/>
                <w:szCs w:val="24"/>
                <w:lang w:val="ru-RU"/>
              </w:rPr>
              <w:t>0131-2014-000</w:t>
            </w:r>
            <w:r w:rsidRPr="00EF052E">
              <w:rPr>
                <w:sz w:val="24"/>
                <w:szCs w:val="24"/>
                <w:lang w:val="ru-RU"/>
              </w:rPr>
              <w:t>2</w:t>
            </w:r>
          </w:p>
          <w:p w:rsidR="00ED3DC2" w:rsidRPr="00ED3DC2" w:rsidRDefault="00ED3DC2" w:rsidP="00CD00B8">
            <w:pPr>
              <w:spacing w:line="360" w:lineRule="auto"/>
              <w:ind w:firstLine="540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ED3DC2" w:rsidRPr="00ED3DC2" w:rsidRDefault="00ED3DC2" w:rsidP="00CD00B8">
            <w:pPr>
              <w:spacing w:line="360" w:lineRule="auto"/>
              <w:ind w:firstLine="540"/>
              <w:jc w:val="center"/>
              <w:rPr>
                <w:sz w:val="24"/>
                <w:szCs w:val="24"/>
              </w:rPr>
            </w:pPr>
          </w:p>
          <w:p w:rsidR="00ED3DC2" w:rsidRPr="00ED3DC2" w:rsidRDefault="00ED3DC2" w:rsidP="00CD00B8">
            <w:pPr>
              <w:spacing w:line="360" w:lineRule="auto"/>
              <w:ind w:firstLine="540"/>
              <w:jc w:val="center"/>
              <w:rPr>
                <w:sz w:val="24"/>
                <w:szCs w:val="24"/>
              </w:rPr>
            </w:pPr>
          </w:p>
          <w:p w:rsidR="00ED3DC2" w:rsidRPr="00ED3DC2" w:rsidRDefault="00ED3DC2" w:rsidP="00CD00B8">
            <w:pPr>
              <w:spacing w:line="360" w:lineRule="auto"/>
              <w:ind w:firstLine="540"/>
              <w:jc w:val="center"/>
              <w:rPr>
                <w:sz w:val="24"/>
                <w:szCs w:val="24"/>
              </w:rPr>
            </w:pPr>
          </w:p>
          <w:p w:rsidR="00ED3DC2" w:rsidRPr="00ED3DC2" w:rsidRDefault="00ED3DC2" w:rsidP="00CD00B8">
            <w:pPr>
              <w:spacing w:line="360" w:lineRule="auto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3888" w:type="dxa"/>
          </w:tcPr>
          <w:p w:rsidR="00ED3DC2" w:rsidRPr="00ED3DC2" w:rsidRDefault="00ED3DC2" w:rsidP="00CD00B8">
            <w:pPr>
              <w:spacing w:line="360" w:lineRule="auto"/>
              <w:ind w:firstLine="540"/>
              <w:rPr>
                <w:lang w:val="ru-RU"/>
              </w:rPr>
            </w:pPr>
            <w:r w:rsidRPr="00ED3DC2">
              <w:rPr>
                <w:lang w:val="ru-RU"/>
              </w:rPr>
              <w:t>УТВЕРЖДАЮ</w:t>
            </w:r>
          </w:p>
          <w:p w:rsidR="00ED3DC2" w:rsidRPr="00ED3DC2" w:rsidRDefault="00ED3DC2" w:rsidP="00CD00B8">
            <w:pPr>
              <w:spacing w:line="360" w:lineRule="auto"/>
              <w:ind w:firstLine="540"/>
              <w:rPr>
                <w:lang w:val="ru-RU"/>
              </w:rPr>
            </w:pPr>
            <w:r w:rsidRPr="00ED3DC2">
              <w:rPr>
                <w:lang w:val="ru-RU"/>
              </w:rPr>
              <w:t>Директор</w:t>
            </w:r>
          </w:p>
          <w:p w:rsidR="00ED3DC2" w:rsidRPr="00ED3DC2" w:rsidRDefault="00ED3DC2" w:rsidP="00CD00B8">
            <w:pPr>
              <w:spacing w:line="360" w:lineRule="auto"/>
              <w:ind w:firstLine="540"/>
              <w:rPr>
                <w:lang w:val="ru-RU"/>
              </w:rPr>
            </w:pPr>
          </w:p>
          <w:p w:rsidR="00ED3DC2" w:rsidRPr="00ED3DC2" w:rsidRDefault="00ED3DC2" w:rsidP="00CD00B8">
            <w:pPr>
              <w:spacing w:line="360" w:lineRule="auto"/>
              <w:ind w:firstLine="540"/>
              <w:rPr>
                <w:lang w:val="ru-RU"/>
              </w:rPr>
            </w:pPr>
            <w:r w:rsidRPr="00ED3DC2">
              <w:rPr>
                <w:lang w:val="ru-RU"/>
              </w:rPr>
              <w:t>_________Ф.И. Атауллаханов</w:t>
            </w:r>
          </w:p>
          <w:p w:rsidR="00ED3DC2" w:rsidRPr="00ED3DC2" w:rsidRDefault="00ED3DC2" w:rsidP="00ED3DC2">
            <w:pPr>
              <w:spacing w:line="360" w:lineRule="auto"/>
              <w:ind w:firstLine="540"/>
              <w:rPr>
                <w:lang w:val="ru-RU"/>
              </w:rPr>
            </w:pPr>
            <w:r w:rsidRPr="00ED3DC2">
              <w:rPr>
                <w:lang w:val="ru-RU"/>
              </w:rPr>
              <w:t>«___»</w:t>
            </w:r>
            <w:r w:rsidRPr="00ED3DC2">
              <w:t> </w:t>
            </w:r>
            <w:r w:rsidRPr="00ED3DC2">
              <w:rPr>
                <w:lang w:val="ru-RU"/>
              </w:rPr>
              <w:t>______________</w:t>
            </w:r>
            <w:r w:rsidRPr="00ED3DC2">
              <w:t> </w:t>
            </w:r>
            <w:r w:rsidRPr="00ED3DC2">
              <w:rPr>
                <w:lang w:val="ru-RU"/>
              </w:rPr>
              <w:t>201</w:t>
            </w:r>
            <w:r w:rsidRPr="005E35FF">
              <w:rPr>
                <w:lang w:val="ru-RU"/>
              </w:rPr>
              <w:t>6</w:t>
            </w:r>
            <w:r w:rsidRPr="00ED3DC2">
              <w:rPr>
                <w:lang w:val="ru-RU"/>
              </w:rPr>
              <w:t xml:space="preserve"> г.</w:t>
            </w:r>
          </w:p>
        </w:tc>
      </w:tr>
    </w:tbl>
    <w:p w:rsidR="00ED3DC2" w:rsidRPr="00ED3DC2" w:rsidRDefault="00ED3DC2" w:rsidP="00ED3DC2">
      <w:pPr>
        <w:tabs>
          <w:tab w:val="left" w:pos="7088"/>
        </w:tabs>
        <w:spacing w:line="360" w:lineRule="auto"/>
        <w:ind w:firstLine="7088"/>
        <w:rPr>
          <w:lang w:val="ru-RU"/>
        </w:rPr>
      </w:pPr>
      <w:r w:rsidRPr="00ED3DC2">
        <w:rPr>
          <w:lang w:val="ru-RU"/>
        </w:rPr>
        <w:t>М.П.</w:t>
      </w:r>
    </w:p>
    <w:p w:rsidR="00ED3DC2" w:rsidRPr="00ED3DC2" w:rsidRDefault="00ED3DC2" w:rsidP="00ED3DC2">
      <w:pPr>
        <w:spacing w:line="360" w:lineRule="auto"/>
        <w:ind w:firstLine="540"/>
        <w:jc w:val="center"/>
        <w:rPr>
          <w:lang w:val="ru-RU"/>
        </w:rPr>
      </w:pPr>
    </w:p>
    <w:p w:rsidR="006762B0" w:rsidRPr="00D6734C" w:rsidRDefault="006762B0" w:rsidP="006762B0">
      <w:pPr>
        <w:pStyle w:val="zag3"/>
        <w:spacing w:before="0" w:after="0"/>
        <w:outlineLvl w:val="4"/>
        <w:rPr>
          <w:lang w:val="ru-RU"/>
        </w:rPr>
      </w:pPr>
      <w:r w:rsidRPr="00D6734C">
        <w:rPr>
          <w:lang w:val="ru-RU"/>
        </w:rPr>
        <w:t xml:space="preserve">ОТЧЕТ </w:t>
      </w:r>
    </w:p>
    <w:p w:rsidR="006762B0" w:rsidRPr="00D6734C" w:rsidRDefault="006762B0" w:rsidP="006762B0">
      <w:pPr>
        <w:pStyle w:val="zag3"/>
        <w:spacing w:before="0" w:after="0"/>
        <w:outlineLvl w:val="4"/>
        <w:rPr>
          <w:lang w:val="ru-RU"/>
        </w:rPr>
      </w:pPr>
      <w:r w:rsidRPr="00D6734C">
        <w:rPr>
          <w:lang w:val="ru-RU"/>
        </w:rPr>
        <w:t xml:space="preserve">О НАУЧНО-ИССЛЕДОВАТЕЛЬСКОЙ РАБОТЕ </w:t>
      </w:r>
    </w:p>
    <w:p w:rsidR="006762B0" w:rsidRPr="00D6734C" w:rsidRDefault="006762B0" w:rsidP="006762B0">
      <w:pPr>
        <w:pStyle w:val="zag3"/>
        <w:outlineLvl w:val="4"/>
        <w:rPr>
          <w:lang w:val="ru-RU"/>
        </w:rPr>
      </w:pPr>
      <w:r w:rsidRPr="00D6734C">
        <w:rPr>
          <w:lang w:val="ru-RU"/>
        </w:rPr>
        <w:t xml:space="preserve">В рамках Программы фундаментальных научных исследований государственных академий </w:t>
      </w:r>
      <w:r>
        <w:rPr>
          <w:lang w:val="ru-RU"/>
        </w:rPr>
        <w:t xml:space="preserve">наук </w:t>
      </w:r>
      <w:r w:rsidRPr="00D6734C">
        <w:rPr>
          <w:lang w:val="ru-RU"/>
        </w:rPr>
        <w:t>на 20</w:t>
      </w:r>
      <w:r>
        <w:rPr>
          <w:lang w:val="ru-RU"/>
        </w:rPr>
        <w:t>13-2020</w:t>
      </w:r>
      <w:r w:rsidRPr="00D6734C">
        <w:rPr>
          <w:lang w:val="ru-RU"/>
        </w:rPr>
        <w:t xml:space="preserve"> годы</w:t>
      </w:r>
    </w:p>
    <w:p w:rsidR="006762B0" w:rsidRPr="00D6734C" w:rsidRDefault="006762B0" w:rsidP="006762B0">
      <w:pPr>
        <w:pStyle w:val="zag3"/>
        <w:outlineLvl w:val="4"/>
        <w:rPr>
          <w:lang w:val="ru-RU"/>
        </w:rPr>
      </w:pPr>
      <w:r w:rsidRPr="00D6734C">
        <w:rPr>
          <w:lang w:val="ru-RU"/>
        </w:rPr>
        <w:t xml:space="preserve">по теме: </w:t>
      </w:r>
    </w:p>
    <w:p w:rsidR="006762B0" w:rsidRPr="006762B0" w:rsidRDefault="00722173" w:rsidP="006762B0">
      <w:pPr>
        <w:jc w:val="center"/>
        <w:rPr>
          <w:b/>
          <w:iCs/>
          <w:sz w:val="24"/>
          <w:szCs w:val="24"/>
          <w:lang w:val="ru-RU"/>
        </w:rPr>
      </w:pPr>
      <w:r>
        <w:rPr>
          <w:b/>
          <w:iCs/>
          <w:sz w:val="24"/>
          <w:szCs w:val="24"/>
          <w:lang w:val="ru-RU"/>
        </w:rPr>
        <w:t>65.</w:t>
      </w:r>
      <w:r w:rsidRPr="00722173">
        <w:rPr>
          <w:b/>
          <w:iCs/>
          <w:sz w:val="24"/>
          <w:szCs w:val="24"/>
          <w:lang w:val="ru-RU"/>
        </w:rPr>
        <w:t>2</w:t>
      </w:r>
      <w:r w:rsidR="006762B0">
        <w:rPr>
          <w:b/>
          <w:iCs/>
          <w:sz w:val="24"/>
          <w:szCs w:val="24"/>
          <w:lang w:val="ru-RU"/>
        </w:rPr>
        <w:t xml:space="preserve"> </w:t>
      </w:r>
      <w:r w:rsidRPr="00722173">
        <w:rPr>
          <w:b/>
          <w:iCs/>
          <w:sz w:val="24"/>
          <w:szCs w:val="24"/>
          <w:lang w:val="ru-RU"/>
        </w:rPr>
        <w:t>Выявление и изучение неблагоприятных факторов внешней среды, образа жизни и полиморфизма генов, определяющих предрасположенность к возникновению мультифакторных заболеваний как основа предиктивной медицины</w:t>
      </w:r>
    </w:p>
    <w:p w:rsidR="00ED3DC2" w:rsidRPr="00ED3DC2" w:rsidRDefault="00ED3DC2" w:rsidP="00ED3DC2">
      <w:pPr>
        <w:spacing w:line="360" w:lineRule="auto"/>
        <w:ind w:firstLine="540"/>
        <w:jc w:val="center"/>
        <w:rPr>
          <w:b/>
          <w:lang w:val="ru-RU"/>
        </w:rPr>
      </w:pPr>
    </w:p>
    <w:p w:rsidR="00ED3DC2" w:rsidRDefault="00ED3DC2" w:rsidP="00ED3DC2">
      <w:pPr>
        <w:pStyle w:val="1"/>
        <w:spacing w:line="360" w:lineRule="auto"/>
        <w:ind w:left="0" w:firstLine="540"/>
        <w:jc w:val="center"/>
        <w:rPr>
          <w:rFonts w:eastAsia="Calibri"/>
          <w:lang w:val="ru-RU"/>
        </w:rPr>
      </w:pPr>
    </w:p>
    <w:p w:rsidR="002037CE" w:rsidRPr="00EF052E" w:rsidRDefault="002037CE" w:rsidP="00ED3DC2">
      <w:pPr>
        <w:pStyle w:val="1"/>
        <w:spacing w:line="360" w:lineRule="auto"/>
        <w:ind w:left="0" w:firstLine="540"/>
        <w:jc w:val="center"/>
        <w:rPr>
          <w:rFonts w:eastAsia="Calibri"/>
          <w:lang w:val="ru-RU"/>
        </w:rPr>
      </w:pPr>
    </w:p>
    <w:p w:rsidR="00ED3DC2" w:rsidRPr="00ED3DC2" w:rsidRDefault="00ED3DC2" w:rsidP="00ED3DC2">
      <w:pPr>
        <w:pStyle w:val="1"/>
        <w:spacing w:line="360" w:lineRule="auto"/>
        <w:ind w:left="0" w:firstLine="540"/>
        <w:jc w:val="center"/>
        <w:rPr>
          <w:rFonts w:eastAsia="Calibri"/>
          <w:lang w:val="ru-RU"/>
        </w:rPr>
      </w:pPr>
    </w:p>
    <w:p w:rsidR="00ED3DC2" w:rsidRPr="00ED3DC2" w:rsidRDefault="00ED3DC2" w:rsidP="00ED3DC2">
      <w:pPr>
        <w:pStyle w:val="1"/>
        <w:spacing w:line="360" w:lineRule="auto"/>
        <w:ind w:left="0" w:firstLine="540"/>
        <w:jc w:val="center"/>
        <w:rPr>
          <w:rFonts w:eastAsia="Calibri"/>
          <w:lang w:val="ru-RU"/>
        </w:rPr>
      </w:pPr>
    </w:p>
    <w:p w:rsidR="00ED3DC2" w:rsidRPr="00ED3DC2" w:rsidRDefault="00ED3DC2" w:rsidP="00ED3DC2">
      <w:pPr>
        <w:spacing w:line="360" w:lineRule="auto"/>
        <w:ind w:firstLine="540"/>
        <w:jc w:val="center"/>
        <w:rPr>
          <w:lang w:val="ru-RU"/>
        </w:rPr>
      </w:pPr>
    </w:p>
    <w:p w:rsidR="004E33FC" w:rsidRPr="00D6734C" w:rsidRDefault="004E33FC" w:rsidP="004E33FC">
      <w:pPr>
        <w:jc w:val="right"/>
        <w:rPr>
          <w:rFonts w:eastAsia="Calibri"/>
          <w:sz w:val="24"/>
          <w:szCs w:val="24"/>
          <w:lang w:val="ru-RU"/>
        </w:rPr>
      </w:pPr>
      <w:r w:rsidRPr="00D6734C">
        <w:rPr>
          <w:rFonts w:eastAsia="Calibri"/>
          <w:sz w:val="24"/>
          <w:szCs w:val="24"/>
          <w:lang w:val="ru-RU"/>
        </w:rPr>
        <w:t>Обсуждено и утверждено</w:t>
      </w:r>
      <w:bookmarkStart w:id="0" w:name="_GoBack"/>
      <w:bookmarkEnd w:id="0"/>
      <w:r w:rsidRPr="00D6734C">
        <w:rPr>
          <w:rFonts w:eastAsia="Calibri"/>
          <w:sz w:val="24"/>
          <w:szCs w:val="24"/>
          <w:lang w:val="ru-RU"/>
        </w:rPr>
        <w:t xml:space="preserve"> на Ученом совете ЦТПФХФ РАН</w:t>
      </w:r>
    </w:p>
    <w:p w:rsidR="004E33FC" w:rsidRPr="00355D8C" w:rsidRDefault="004E33FC" w:rsidP="004E33FC">
      <w:pPr>
        <w:jc w:val="right"/>
        <w:rPr>
          <w:sz w:val="24"/>
          <w:szCs w:val="24"/>
          <w:lang w:val="ru-RU"/>
        </w:rPr>
      </w:pPr>
      <w:r w:rsidRPr="00D6734C">
        <w:rPr>
          <w:rFonts w:eastAsia="Calibri"/>
          <w:sz w:val="24"/>
          <w:szCs w:val="24"/>
          <w:lang w:val="ru-RU"/>
        </w:rPr>
        <w:t xml:space="preserve"> </w:t>
      </w:r>
      <w:r w:rsidRPr="00355D8C">
        <w:rPr>
          <w:rFonts w:eastAsia="Calibri"/>
          <w:sz w:val="24"/>
          <w:szCs w:val="24"/>
          <w:lang w:val="ru-RU"/>
        </w:rPr>
        <w:t xml:space="preserve">Протокол № </w:t>
      </w:r>
      <w:r>
        <w:rPr>
          <w:rFonts w:eastAsia="Calibri"/>
          <w:sz w:val="24"/>
          <w:szCs w:val="24"/>
          <w:lang w:val="ru-RU"/>
        </w:rPr>
        <w:t>10</w:t>
      </w:r>
      <w:r w:rsidRPr="00355D8C">
        <w:rPr>
          <w:rFonts w:eastAsia="Calibri"/>
          <w:sz w:val="24"/>
          <w:szCs w:val="24"/>
          <w:lang w:val="ru-RU"/>
        </w:rPr>
        <w:t xml:space="preserve"> от </w:t>
      </w:r>
      <w:r>
        <w:rPr>
          <w:rFonts w:eastAsia="Calibri"/>
          <w:sz w:val="24"/>
          <w:szCs w:val="24"/>
          <w:lang w:val="ru-RU"/>
        </w:rPr>
        <w:t>30</w:t>
      </w:r>
      <w:r w:rsidRPr="00355D8C">
        <w:rPr>
          <w:rFonts w:eastAsia="Calibri"/>
          <w:sz w:val="24"/>
          <w:szCs w:val="24"/>
          <w:lang w:val="ru-RU"/>
        </w:rPr>
        <w:t>.1</w:t>
      </w:r>
      <w:r>
        <w:rPr>
          <w:rFonts w:eastAsia="Calibri"/>
          <w:sz w:val="24"/>
          <w:szCs w:val="24"/>
          <w:lang w:val="ru-RU"/>
        </w:rPr>
        <w:t>1</w:t>
      </w:r>
      <w:r w:rsidRPr="00355D8C">
        <w:rPr>
          <w:rFonts w:eastAsia="Calibri"/>
          <w:sz w:val="24"/>
          <w:szCs w:val="24"/>
          <w:lang w:val="ru-RU"/>
        </w:rPr>
        <w:t>.201</w:t>
      </w:r>
      <w:r>
        <w:rPr>
          <w:sz w:val="24"/>
          <w:szCs w:val="24"/>
          <w:lang w:val="ru-RU"/>
        </w:rPr>
        <w:t>6</w:t>
      </w:r>
    </w:p>
    <w:p w:rsidR="00ED3DC2" w:rsidRDefault="00ED3DC2" w:rsidP="00ED3DC2">
      <w:pPr>
        <w:pStyle w:val="1"/>
        <w:spacing w:line="360" w:lineRule="auto"/>
        <w:ind w:left="0" w:firstLine="540"/>
        <w:jc w:val="both"/>
        <w:rPr>
          <w:i/>
          <w:lang w:val="ru-RU"/>
        </w:rPr>
      </w:pPr>
    </w:p>
    <w:p w:rsidR="004E33FC" w:rsidRPr="005E35FF" w:rsidRDefault="004E33FC" w:rsidP="00ED3DC2">
      <w:pPr>
        <w:pStyle w:val="1"/>
        <w:spacing w:line="360" w:lineRule="auto"/>
        <w:ind w:left="0" w:firstLine="540"/>
        <w:jc w:val="both"/>
        <w:rPr>
          <w:i/>
          <w:lang w:val="ru-RU"/>
        </w:rPr>
      </w:pPr>
    </w:p>
    <w:p w:rsidR="00ED3DC2" w:rsidRPr="005E35FF" w:rsidRDefault="00ED3DC2" w:rsidP="00ED3DC2">
      <w:pPr>
        <w:pStyle w:val="1"/>
        <w:spacing w:line="360" w:lineRule="auto"/>
        <w:ind w:left="0" w:firstLine="540"/>
        <w:jc w:val="both"/>
        <w:rPr>
          <w:i/>
          <w:lang w:val="ru-RU"/>
        </w:rPr>
      </w:pPr>
    </w:p>
    <w:p w:rsidR="00ED3DC2" w:rsidRPr="00305B67" w:rsidRDefault="00ED3DC2" w:rsidP="00ED3DC2">
      <w:pPr>
        <w:pStyle w:val="1"/>
        <w:spacing w:line="360" w:lineRule="auto"/>
        <w:ind w:left="0" w:firstLine="540"/>
        <w:jc w:val="center"/>
        <w:rPr>
          <w:lang w:val="ru-RU"/>
        </w:rPr>
      </w:pPr>
      <w:r w:rsidRPr="00ED3DC2">
        <w:rPr>
          <w:lang w:val="ru-RU"/>
        </w:rPr>
        <w:t>Москва 201</w:t>
      </w:r>
      <w:r w:rsidRPr="00305B67">
        <w:rPr>
          <w:lang w:val="ru-RU"/>
        </w:rPr>
        <w:t>6</w:t>
      </w:r>
    </w:p>
    <w:p w:rsidR="00ED3DC2" w:rsidRPr="00BF340D" w:rsidRDefault="00ED3DC2" w:rsidP="00ED3DC2">
      <w:pPr>
        <w:spacing w:after="160" w:line="259" w:lineRule="auto"/>
        <w:jc w:val="left"/>
        <w:rPr>
          <w:lang w:val="ru-RU"/>
        </w:rPr>
      </w:pPr>
      <w:r w:rsidRPr="00BF340D">
        <w:rPr>
          <w:lang w:val="ru-RU"/>
        </w:rPr>
        <w:br w:type="page"/>
      </w:r>
    </w:p>
    <w:p w:rsidR="00305B67" w:rsidRPr="00BF340D" w:rsidRDefault="00305B67" w:rsidP="00305B67">
      <w:pPr>
        <w:pageBreakBefore/>
        <w:jc w:val="center"/>
        <w:rPr>
          <w:sz w:val="24"/>
          <w:szCs w:val="24"/>
          <w:lang w:val="ru-RU"/>
        </w:rPr>
      </w:pPr>
      <w:r w:rsidRPr="00BF340D">
        <w:rPr>
          <w:sz w:val="24"/>
          <w:szCs w:val="24"/>
          <w:lang w:val="ru-RU"/>
        </w:rPr>
        <w:lastRenderedPageBreak/>
        <w:t>СПИСОК ИСПОЛНИТЕЛЕЙ</w:t>
      </w:r>
    </w:p>
    <w:p w:rsidR="00305B67" w:rsidRPr="00A81628" w:rsidRDefault="00305B67" w:rsidP="00305B67">
      <w:pPr>
        <w:jc w:val="center"/>
        <w:rPr>
          <w:sz w:val="24"/>
          <w:szCs w:val="24"/>
          <w:lang w:val="ru-RU"/>
        </w:rPr>
      </w:pPr>
    </w:p>
    <w:p w:rsidR="00A81628" w:rsidRPr="00A81628" w:rsidRDefault="00A81628" w:rsidP="00A81628">
      <w:pPr>
        <w:tabs>
          <w:tab w:val="left" w:pos="4253"/>
        </w:tabs>
        <w:rPr>
          <w:sz w:val="24"/>
          <w:szCs w:val="24"/>
          <w:lang w:val="ru-RU"/>
        </w:rPr>
      </w:pPr>
      <w:r w:rsidRPr="00A81628">
        <w:rPr>
          <w:sz w:val="24"/>
          <w:szCs w:val="24"/>
          <w:lang w:val="ru-RU"/>
        </w:rPr>
        <w:t xml:space="preserve">Руководитель, д.м.н. </w:t>
      </w:r>
      <w:r w:rsidRPr="00A81628">
        <w:rPr>
          <w:sz w:val="24"/>
          <w:szCs w:val="24"/>
          <w:lang w:val="ru-RU"/>
        </w:rPr>
        <w:tab/>
        <w:t>______________________ Николаева И.С.</w:t>
      </w:r>
    </w:p>
    <w:p w:rsidR="00A81628" w:rsidRPr="00A81628" w:rsidRDefault="00A81628" w:rsidP="00A81628">
      <w:pPr>
        <w:jc w:val="center"/>
        <w:rPr>
          <w:sz w:val="24"/>
          <w:szCs w:val="24"/>
          <w:lang w:val="ru-RU"/>
        </w:rPr>
      </w:pPr>
      <w:r w:rsidRPr="00A81628">
        <w:rPr>
          <w:sz w:val="24"/>
          <w:szCs w:val="24"/>
          <w:lang w:val="ru-RU"/>
        </w:rPr>
        <w:tab/>
      </w:r>
      <w:r w:rsidRPr="00A81628">
        <w:rPr>
          <w:sz w:val="24"/>
          <w:szCs w:val="24"/>
          <w:lang w:val="ru-RU"/>
        </w:rPr>
        <w:tab/>
        <w:t>подпись, дата</w:t>
      </w:r>
    </w:p>
    <w:p w:rsidR="00A81628" w:rsidRPr="00A81628" w:rsidRDefault="00A81628" w:rsidP="00A81628">
      <w:pPr>
        <w:jc w:val="center"/>
        <w:rPr>
          <w:sz w:val="24"/>
          <w:szCs w:val="24"/>
          <w:lang w:val="ru-RU"/>
        </w:rPr>
      </w:pPr>
    </w:p>
    <w:p w:rsidR="00A81628" w:rsidRPr="00A81628" w:rsidRDefault="00A81628" w:rsidP="00A81628">
      <w:pPr>
        <w:tabs>
          <w:tab w:val="left" w:pos="4253"/>
        </w:tabs>
        <w:rPr>
          <w:sz w:val="24"/>
          <w:szCs w:val="24"/>
          <w:lang w:val="ru-RU"/>
        </w:rPr>
      </w:pPr>
      <w:r w:rsidRPr="00A81628">
        <w:rPr>
          <w:sz w:val="24"/>
          <w:szCs w:val="24"/>
          <w:lang w:val="ru-RU"/>
        </w:rPr>
        <w:t xml:space="preserve">Руководитель, д.м.н. </w:t>
      </w:r>
      <w:r w:rsidRPr="00A81628">
        <w:rPr>
          <w:sz w:val="24"/>
          <w:szCs w:val="24"/>
          <w:lang w:val="ru-RU"/>
        </w:rPr>
        <w:tab/>
        <w:t>______________________ Радкевич Л.А.</w:t>
      </w:r>
    </w:p>
    <w:p w:rsidR="00A81628" w:rsidRPr="00A81628" w:rsidRDefault="00A81628" w:rsidP="00A81628">
      <w:pPr>
        <w:jc w:val="center"/>
        <w:rPr>
          <w:sz w:val="24"/>
          <w:szCs w:val="24"/>
          <w:lang w:val="ru-RU"/>
        </w:rPr>
      </w:pPr>
      <w:r w:rsidRPr="00A81628">
        <w:rPr>
          <w:sz w:val="24"/>
          <w:szCs w:val="24"/>
          <w:lang w:val="ru-RU"/>
        </w:rPr>
        <w:tab/>
      </w:r>
      <w:r w:rsidRPr="00A81628">
        <w:rPr>
          <w:sz w:val="24"/>
          <w:szCs w:val="24"/>
          <w:lang w:val="ru-RU"/>
        </w:rPr>
        <w:tab/>
        <w:t>подпись, дата</w:t>
      </w:r>
    </w:p>
    <w:p w:rsidR="00A81628" w:rsidRPr="00A81628" w:rsidRDefault="00A81628" w:rsidP="00A81628">
      <w:pPr>
        <w:jc w:val="center"/>
        <w:rPr>
          <w:sz w:val="24"/>
          <w:szCs w:val="24"/>
          <w:lang w:val="ru-RU"/>
        </w:rPr>
      </w:pPr>
    </w:p>
    <w:p w:rsidR="00A81628" w:rsidRPr="00A81628" w:rsidRDefault="00A81628" w:rsidP="00A81628">
      <w:pPr>
        <w:tabs>
          <w:tab w:val="left" w:pos="4253"/>
        </w:tabs>
        <w:rPr>
          <w:sz w:val="24"/>
          <w:szCs w:val="24"/>
          <w:lang w:val="ru-RU"/>
        </w:rPr>
      </w:pPr>
      <w:r w:rsidRPr="00A81628">
        <w:rPr>
          <w:sz w:val="24"/>
          <w:szCs w:val="24"/>
          <w:lang w:val="ru-RU"/>
        </w:rPr>
        <w:t xml:space="preserve">Руководитель, д.м.н. </w:t>
      </w:r>
      <w:r w:rsidRPr="00A81628">
        <w:rPr>
          <w:sz w:val="24"/>
          <w:szCs w:val="24"/>
          <w:lang w:val="ru-RU"/>
        </w:rPr>
        <w:tab/>
        <w:t>______________________ Корсунская И.М.</w:t>
      </w:r>
    </w:p>
    <w:p w:rsidR="00A81628" w:rsidRPr="00A81628" w:rsidRDefault="00A81628" w:rsidP="00A81628">
      <w:pPr>
        <w:jc w:val="center"/>
        <w:rPr>
          <w:sz w:val="24"/>
          <w:szCs w:val="24"/>
          <w:lang w:val="ru-RU"/>
        </w:rPr>
      </w:pPr>
      <w:r w:rsidRPr="00A81628">
        <w:rPr>
          <w:sz w:val="24"/>
          <w:szCs w:val="24"/>
          <w:lang w:val="ru-RU"/>
        </w:rPr>
        <w:tab/>
      </w:r>
      <w:r w:rsidRPr="00A81628">
        <w:rPr>
          <w:sz w:val="24"/>
          <w:szCs w:val="24"/>
          <w:lang w:val="ru-RU"/>
        </w:rPr>
        <w:tab/>
        <w:t>подпись, дата</w:t>
      </w:r>
    </w:p>
    <w:p w:rsidR="00A81628" w:rsidRPr="00A81628" w:rsidRDefault="00A81628" w:rsidP="00A81628">
      <w:pPr>
        <w:jc w:val="center"/>
        <w:rPr>
          <w:sz w:val="24"/>
          <w:szCs w:val="24"/>
          <w:lang w:val="ru-RU"/>
        </w:rPr>
      </w:pPr>
    </w:p>
    <w:p w:rsidR="00A81628" w:rsidRPr="00A81628" w:rsidRDefault="00A81628" w:rsidP="00A81628">
      <w:pPr>
        <w:tabs>
          <w:tab w:val="left" w:pos="4253"/>
        </w:tabs>
        <w:rPr>
          <w:sz w:val="24"/>
          <w:szCs w:val="24"/>
          <w:lang w:val="ru-RU"/>
        </w:rPr>
      </w:pPr>
      <w:r w:rsidRPr="00A81628">
        <w:rPr>
          <w:sz w:val="24"/>
          <w:szCs w:val="24"/>
          <w:lang w:val="ru-RU"/>
        </w:rPr>
        <w:t>Руководитель, д.б.н.</w:t>
      </w:r>
      <w:r w:rsidRPr="00A81628">
        <w:rPr>
          <w:sz w:val="24"/>
          <w:szCs w:val="24"/>
          <w:lang w:val="ru-RU"/>
        </w:rPr>
        <w:tab/>
        <w:t>______________________ Суханов В.А.</w:t>
      </w:r>
    </w:p>
    <w:p w:rsidR="00A81628" w:rsidRPr="00A81628" w:rsidRDefault="00A81628" w:rsidP="00A81628">
      <w:pPr>
        <w:jc w:val="center"/>
        <w:rPr>
          <w:sz w:val="24"/>
          <w:szCs w:val="24"/>
          <w:lang w:val="ru-RU"/>
        </w:rPr>
      </w:pPr>
      <w:r w:rsidRPr="00A81628">
        <w:rPr>
          <w:sz w:val="24"/>
          <w:szCs w:val="24"/>
          <w:lang w:val="ru-RU"/>
        </w:rPr>
        <w:tab/>
      </w:r>
      <w:r w:rsidRPr="00A81628">
        <w:rPr>
          <w:sz w:val="24"/>
          <w:szCs w:val="24"/>
          <w:lang w:val="ru-RU"/>
        </w:rPr>
        <w:tab/>
        <w:t>подпись, дата</w:t>
      </w:r>
    </w:p>
    <w:p w:rsidR="00A81628" w:rsidRPr="00A81628" w:rsidRDefault="00A81628" w:rsidP="00A81628">
      <w:pPr>
        <w:jc w:val="center"/>
        <w:rPr>
          <w:sz w:val="24"/>
          <w:szCs w:val="24"/>
          <w:lang w:val="ru-RU"/>
        </w:rPr>
      </w:pPr>
    </w:p>
    <w:p w:rsidR="00A81628" w:rsidRPr="00A81628" w:rsidRDefault="00A81628" w:rsidP="00A81628">
      <w:pPr>
        <w:tabs>
          <w:tab w:val="left" w:pos="4253"/>
        </w:tabs>
        <w:rPr>
          <w:sz w:val="24"/>
          <w:szCs w:val="24"/>
          <w:lang w:val="ru-RU"/>
        </w:rPr>
      </w:pPr>
      <w:r w:rsidRPr="00A81628">
        <w:rPr>
          <w:sz w:val="24"/>
          <w:szCs w:val="24"/>
          <w:lang w:val="ru-RU"/>
        </w:rPr>
        <w:t xml:space="preserve">С.н.с., к.б.н. </w:t>
      </w:r>
      <w:r w:rsidRPr="00A81628">
        <w:rPr>
          <w:sz w:val="24"/>
          <w:szCs w:val="24"/>
          <w:lang w:val="ru-RU"/>
        </w:rPr>
        <w:tab/>
        <w:t xml:space="preserve">______________________ Григорьев С.М. </w:t>
      </w:r>
    </w:p>
    <w:p w:rsidR="00A81628" w:rsidRPr="00A81628" w:rsidRDefault="00A81628" w:rsidP="00A81628">
      <w:pPr>
        <w:jc w:val="center"/>
        <w:rPr>
          <w:sz w:val="24"/>
          <w:szCs w:val="24"/>
          <w:lang w:val="ru-RU"/>
        </w:rPr>
      </w:pPr>
      <w:r w:rsidRPr="00A81628">
        <w:rPr>
          <w:sz w:val="24"/>
          <w:szCs w:val="24"/>
          <w:lang w:val="ru-RU"/>
        </w:rPr>
        <w:tab/>
      </w:r>
      <w:r w:rsidRPr="00A81628">
        <w:rPr>
          <w:sz w:val="24"/>
          <w:szCs w:val="24"/>
          <w:lang w:val="ru-RU"/>
        </w:rPr>
        <w:tab/>
        <w:t>подпись, дата</w:t>
      </w:r>
    </w:p>
    <w:p w:rsidR="00A81628" w:rsidRPr="00A81628" w:rsidRDefault="00A81628" w:rsidP="00A81628">
      <w:pPr>
        <w:jc w:val="center"/>
        <w:rPr>
          <w:sz w:val="24"/>
          <w:szCs w:val="24"/>
          <w:lang w:val="ru-RU"/>
        </w:rPr>
      </w:pPr>
    </w:p>
    <w:p w:rsidR="00A81628" w:rsidRPr="00A81628" w:rsidRDefault="00A81628" w:rsidP="00A81628">
      <w:pPr>
        <w:tabs>
          <w:tab w:val="left" w:pos="4253"/>
        </w:tabs>
        <w:rPr>
          <w:sz w:val="24"/>
          <w:szCs w:val="24"/>
          <w:lang w:val="ru-RU"/>
        </w:rPr>
      </w:pPr>
      <w:r w:rsidRPr="00A81628">
        <w:rPr>
          <w:sz w:val="24"/>
          <w:szCs w:val="24"/>
          <w:lang w:val="ru-RU"/>
        </w:rPr>
        <w:t xml:space="preserve">Гл.н.с., д.м.н. </w:t>
      </w:r>
      <w:r w:rsidRPr="00A81628">
        <w:rPr>
          <w:sz w:val="24"/>
          <w:szCs w:val="24"/>
          <w:lang w:val="ru-RU"/>
        </w:rPr>
        <w:tab/>
        <w:t>______________________ Ионов И.Д.</w:t>
      </w:r>
    </w:p>
    <w:p w:rsidR="00A81628" w:rsidRPr="00A81628" w:rsidRDefault="00A81628" w:rsidP="00A81628">
      <w:pPr>
        <w:jc w:val="center"/>
        <w:rPr>
          <w:sz w:val="24"/>
          <w:szCs w:val="24"/>
          <w:lang w:val="ru-RU"/>
        </w:rPr>
      </w:pPr>
      <w:r w:rsidRPr="00A81628">
        <w:rPr>
          <w:sz w:val="24"/>
          <w:szCs w:val="24"/>
          <w:lang w:val="ru-RU"/>
        </w:rPr>
        <w:tab/>
      </w:r>
      <w:r w:rsidRPr="00A81628">
        <w:rPr>
          <w:sz w:val="24"/>
          <w:szCs w:val="24"/>
          <w:lang w:val="ru-RU"/>
        </w:rPr>
        <w:tab/>
        <w:t>подпись, дата</w:t>
      </w:r>
    </w:p>
    <w:p w:rsidR="00A81628" w:rsidRPr="00A81628" w:rsidRDefault="00A81628" w:rsidP="00A81628">
      <w:pPr>
        <w:jc w:val="center"/>
        <w:rPr>
          <w:sz w:val="24"/>
          <w:szCs w:val="24"/>
          <w:lang w:val="ru-RU"/>
        </w:rPr>
      </w:pPr>
    </w:p>
    <w:p w:rsidR="00A81628" w:rsidRPr="00A81628" w:rsidRDefault="00A81628" w:rsidP="00A81628">
      <w:pPr>
        <w:tabs>
          <w:tab w:val="left" w:pos="4253"/>
        </w:tabs>
        <w:rPr>
          <w:sz w:val="24"/>
          <w:szCs w:val="24"/>
          <w:lang w:val="ru-RU"/>
        </w:rPr>
      </w:pPr>
      <w:r w:rsidRPr="00A81628">
        <w:rPr>
          <w:sz w:val="24"/>
          <w:szCs w:val="24"/>
          <w:lang w:val="ru-RU"/>
        </w:rPr>
        <w:t xml:space="preserve">Инженер-иссл. </w:t>
      </w:r>
      <w:r w:rsidRPr="00A81628">
        <w:rPr>
          <w:sz w:val="24"/>
          <w:szCs w:val="24"/>
          <w:lang w:val="ru-RU"/>
        </w:rPr>
        <w:tab/>
        <w:t>______________________  Радкевич Д.А.</w:t>
      </w:r>
    </w:p>
    <w:p w:rsidR="00A81628" w:rsidRPr="00A81628" w:rsidRDefault="00A81628" w:rsidP="00A81628">
      <w:pPr>
        <w:jc w:val="center"/>
        <w:rPr>
          <w:sz w:val="24"/>
          <w:szCs w:val="24"/>
          <w:lang w:val="ru-RU"/>
        </w:rPr>
      </w:pPr>
      <w:r w:rsidRPr="00A81628">
        <w:rPr>
          <w:sz w:val="24"/>
          <w:szCs w:val="24"/>
          <w:lang w:val="ru-RU"/>
        </w:rPr>
        <w:tab/>
      </w:r>
      <w:r w:rsidRPr="00A81628">
        <w:rPr>
          <w:sz w:val="24"/>
          <w:szCs w:val="24"/>
          <w:lang w:val="ru-RU"/>
        </w:rPr>
        <w:tab/>
        <w:t>подпись, дата</w:t>
      </w:r>
    </w:p>
    <w:p w:rsidR="00A81628" w:rsidRPr="00A81628" w:rsidRDefault="00A81628" w:rsidP="00A81628">
      <w:pPr>
        <w:jc w:val="center"/>
        <w:rPr>
          <w:sz w:val="24"/>
          <w:szCs w:val="24"/>
          <w:lang w:val="ru-RU"/>
        </w:rPr>
      </w:pPr>
    </w:p>
    <w:p w:rsidR="00A81628" w:rsidRPr="00A81628" w:rsidRDefault="00A81628" w:rsidP="00A81628">
      <w:pPr>
        <w:tabs>
          <w:tab w:val="left" w:pos="4253"/>
        </w:tabs>
        <w:rPr>
          <w:sz w:val="24"/>
          <w:szCs w:val="24"/>
          <w:lang w:val="ru-RU"/>
        </w:rPr>
      </w:pPr>
      <w:r w:rsidRPr="00A81628">
        <w:rPr>
          <w:sz w:val="24"/>
          <w:szCs w:val="24"/>
          <w:lang w:val="ru-RU"/>
        </w:rPr>
        <w:t xml:space="preserve">Техник </w:t>
      </w:r>
      <w:r w:rsidRPr="00A81628">
        <w:rPr>
          <w:sz w:val="24"/>
          <w:szCs w:val="24"/>
          <w:lang w:val="ru-RU"/>
        </w:rPr>
        <w:tab/>
        <w:t>______________________ Тимофеев В.И.</w:t>
      </w:r>
    </w:p>
    <w:p w:rsidR="00A81628" w:rsidRPr="00A81628" w:rsidRDefault="00A81628" w:rsidP="00A81628">
      <w:pPr>
        <w:jc w:val="center"/>
        <w:rPr>
          <w:sz w:val="24"/>
          <w:szCs w:val="24"/>
          <w:lang w:val="ru-RU"/>
        </w:rPr>
      </w:pPr>
      <w:r w:rsidRPr="00A81628">
        <w:rPr>
          <w:sz w:val="24"/>
          <w:szCs w:val="24"/>
          <w:lang w:val="ru-RU"/>
        </w:rPr>
        <w:tab/>
      </w:r>
      <w:r w:rsidRPr="00A81628">
        <w:rPr>
          <w:sz w:val="24"/>
          <w:szCs w:val="24"/>
          <w:lang w:val="ru-RU"/>
        </w:rPr>
        <w:tab/>
        <w:t>подпись, дата</w:t>
      </w:r>
    </w:p>
    <w:p w:rsidR="00A81628" w:rsidRPr="00A81628" w:rsidRDefault="00A81628" w:rsidP="00A81628">
      <w:pPr>
        <w:jc w:val="center"/>
        <w:rPr>
          <w:sz w:val="24"/>
          <w:szCs w:val="24"/>
          <w:lang w:val="ru-RU"/>
        </w:rPr>
      </w:pPr>
    </w:p>
    <w:p w:rsidR="00A81628" w:rsidRPr="00A81628" w:rsidRDefault="00A81628" w:rsidP="00A81628">
      <w:pPr>
        <w:tabs>
          <w:tab w:val="left" w:pos="4253"/>
        </w:tabs>
        <w:rPr>
          <w:sz w:val="24"/>
          <w:szCs w:val="24"/>
          <w:lang w:val="ru-RU"/>
        </w:rPr>
      </w:pPr>
      <w:r w:rsidRPr="00A81628">
        <w:rPr>
          <w:sz w:val="24"/>
          <w:szCs w:val="24"/>
          <w:lang w:val="ru-RU"/>
        </w:rPr>
        <w:t xml:space="preserve">Гл.н.с., д.м.н. </w:t>
      </w:r>
      <w:r w:rsidRPr="00A81628">
        <w:rPr>
          <w:sz w:val="24"/>
          <w:szCs w:val="24"/>
          <w:lang w:val="ru-RU"/>
        </w:rPr>
        <w:tab/>
        <w:t>______________________ Пирузян А.Л</w:t>
      </w:r>
    </w:p>
    <w:p w:rsidR="00A81628" w:rsidRPr="00A81628" w:rsidRDefault="00A81628" w:rsidP="00A81628">
      <w:pPr>
        <w:jc w:val="center"/>
        <w:rPr>
          <w:sz w:val="24"/>
          <w:szCs w:val="24"/>
          <w:lang w:val="ru-RU"/>
        </w:rPr>
      </w:pPr>
      <w:r w:rsidRPr="00A81628">
        <w:rPr>
          <w:sz w:val="24"/>
          <w:szCs w:val="24"/>
          <w:lang w:val="ru-RU"/>
        </w:rPr>
        <w:tab/>
      </w:r>
      <w:r w:rsidRPr="00A81628">
        <w:rPr>
          <w:sz w:val="24"/>
          <w:szCs w:val="24"/>
          <w:lang w:val="ru-RU"/>
        </w:rPr>
        <w:tab/>
        <w:t>подпись, дата</w:t>
      </w:r>
    </w:p>
    <w:p w:rsidR="00A81628" w:rsidRPr="00A81628" w:rsidRDefault="00A81628" w:rsidP="00A81628">
      <w:pPr>
        <w:jc w:val="center"/>
        <w:rPr>
          <w:sz w:val="24"/>
          <w:szCs w:val="24"/>
          <w:lang w:val="ru-RU"/>
        </w:rPr>
      </w:pPr>
    </w:p>
    <w:p w:rsidR="00A81628" w:rsidRPr="00EF052E" w:rsidRDefault="00A81628" w:rsidP="00A81628">
      <w:pPr>
        <w:tabs>
          <w:tab w:val="left" w:pos="4253"/>
        </w:tabs>
        <w:rPr>
          <w:sz w:val="24"/>
          <w:szCs w:val="24"/>
          <w:lang w:val="ru-RU"/>
        </w:rPr>
      </w:pPr>
      <w:r w:rsidRPr="00A81628">
        <w:rPr>
          <w:sz w:val="24"/>
          <w:szCs w:val="24"/>
          <w:lang w:val="ru-RU"/>
        </w:rPr>
        <w:t xml:space="preserve">Вед.н.с., д.м.н. </w:t>
      </w:r>
      <w:r w:rsidRPr="00A81628">
        <w:rPr>
          <w:sz w:val="24"/>
          <w:szCs w:val="24"/>
          <w:lang w:val="ru-RU"/>
        </w:rPr>
        <w:tab/>
        <w:t xml:space="preserve">______________________ </w:t>
      </w:r>
      <w:r w:rsidRPr="00EF052E">
        <w:rPr>
          <w:sz w:val="24"/>
          <w:szCs w:val="24"/>
          <w:lang w:val="ru-RU"/>
        </w:rPr>
        <w:t>Дворянкова Е.В.</w:t>
      </w:r>
    </w:p>
    <w:p w:rsidR="00A81628" w:rsidRPr="00A81628" w:rsidRDefault="00A81628" w:rsidP="00A81628">
      <w:pPr>
        <w:jc w:val="center"/>
        <w:rPr>
          <w:sz w:val="24"/>
          <w:szCs w:val="24"/>
          <w:lang w:val="ru-RU"/>
        </w:rPr>
      </w:pPr>
      <w:r w:rsidRPr="00A81628">
        <w:rPr>
          <w:sz w:val="24"/>
          <w:szCs w:val="24"/>
          <w:lang w:val="ru-RU"/>
        </w:rPr>
        <w:tab/>
      </w:r>
      <w:r w:rsidRPr="00A81628">
        <w:rPr>
          <w:sz w:val="24"/>
          <w:szCs w:val="24"/>
          <w:lang w:val="ru-RU"/>
        </w:rPr>
        <w:tab/>
        <w:t>подпись, дата</w:t>
      </w:r>
    </w:p>
    <w:p w:rsidR="00A81628" w:rsidRPr="00A81628" w:rsidRDefault="00A81628" w:rsidP="00A81628">
      <w:pPr>
        <w:jc w:val="center"/>
        <w:rPr>
          <w:sz w:val="24"/>
          <w:szCs w:val="24"/>
          <w:lang w:val="ru-RU"/>
        </w:rPr>
      </w:pPr>
    </w:p>
    <w:p w:rsidR="00A81628" w:rsidRPr="00A81628" w:rsidRDefault="00A81628" w:rsidP="00A81628">
      <w:pPr>
        <w:tabs>
          <w:tab w:val="left" w:pos="4253"/>
        </w:tabs>
        <w:rPr>
          <w:sz w:val="24"/>
          <w:szCs w:val="24"/>
          <w:lang w:val="ru-RU"/>
        </w:rPr>
      </w:pPr>
      <w:r w:rsidRPr="00A81628">
        <w:rPr>
          <w:sz w:val="24"/>
          <w:szCs w:val="24"/>
          <w:lang w:val="ru-RU"/>
        </w:rPr>
        <w:t xml:space="preserve">С.н.с., к.б.н. </w:t>
      </w:r>
      <w:r w:rsidRPr="00A81628">
        <w:rPr>
          <w:sz w:val="24"/>
          <w:szCs w:val="24"/>
          <w:lang w:val="ru-RU"/>
        </w:rPr>
        <w:tab/>
        <w:t>______________________ Турпаев К.Т.</w:t>
      </w:r>
    </w:p>
    <w:p w:rsidR="00A81628" w:rsidRPr="00A81628" w:rsidRDefault="00A81628" w:rsidP="00A81628">
      <w:pPr>
        <w:jc w:val="center"/>
        <w:rPr>
          <w:sz w:val="24"/>
          <w:szCs w:val="24"/>
          <w:lang w:val="ru-RU"/>
        </w:rPr>
      </w:pPr>
      <w:r w:rsidRPr="00A81628">
        <w:rPr>
          <w:sz w:val="24"/>
          <w:szCs w:val="24"/>
          <w:lang w:val="ru-RU"/>
        </w:rPr>
        <w:tab/>
      </w:r>
      <w:r w:rsidRPr="00A81628">
        <w:rPr>
          <w:sz w:val="24"/>
          <w:szCs w:val="24"/>
          <w:lang w:val="ru-RU"/>
        </w:rPr>
        <w:tab/>
        <w:t>подпись, дата</w:t>
      </w:r>
    </w:p>
    <w:p w:rsidR="00A81628" w:rsidRPr="00A81628" w:rsidRDefault="00A81628" w:rsidP="00A81628">
      <w:pPr>
        <w:jc w:val="center"/>
        <w:rPr>
          <w:sz w:val="24"/>
          <w:szCs w:val="24"/>
          <w:lang w:val="ru-RU"/>
        </w:rPr>
      </w:pPr>
    </w:p>
    <w:p w:rsidR="00A81628" w:rsidRPr="00A81628" w:rsidRDefault="00A81628" w:rsidP="00A81628">
      <w:pPr>
        <w:tabs>
          <w:tab w:val="left" w:pos="4253"/>
        </w:tabs>
        <w:rPr>
          <w:sz w:val="24"/>
          <w:szCs w:val="24"/>
          <w:lang w:val="ru-RU"/>
        </w:rPr>
      </w:pPr>
      <w:r w:rsidRPr="00A81628">
        <w:rPr>
          <w:sz w:val="24"/>
          <w:szCs w:val="24"/>
          <w:lang w:val="ru-RU"/>
        </w:rPr>
        <w:t xml:space="preserve">М.н.с. </w:t>
      </w:r>
      <w:r w:rsidRPr="00A81628">
        <w:rPr>
          <w:sz w:val="24"/>
          <w:szCs w:val="24"/>
          <w:lang w:val="ru-RU"/>
        </w:rPr>
        <w:tab/>
        <w:t>______________________ Сакания Л.</w:t>
      </w:r>
    </w:p>
    <w:p w:rsidR="00A81628" w:rsidRPr="00A81628" w:rsidRDefault="00A81628" w:rsidP="00A81628">
      <w:pPr>
        <w:jc w:val="center"/>
        <w:rPr>
          <w:sz w:val="24"/>
          <w:szCs w:val="24"/>
          <w:lang w:val="ru-RU"/>
        </w:rPr>
      </w:pPr>
      <w:r w:rsidRPr="00A81628">
        <w:rPr>
          <w:sz w:val="24"/>
          <w:szCs w:val="24"/>
          <w:lang w:val="ru-RU"/>
        </w:rPr>
        <w:tab/>
      </w:r>
      <w:r w:rsidRPr="00A81628">
        <w:rPr>
          <w:sz w:val="24"/>
          <w:szCs w:val="24"/>
          <w:lang w:val="ru-RU"/>
        </w:rPr>
        <w:tab/>
        <w:t>подпись, дата</w:t>
      </w:r>
    </w:p>
    <w:p w:rsidR="00A81628" w:rsidRPr="00A81628" w:rsidRDefault="00A81628" w:rsidP="00A81628">
      <w:pPr>
        <w:jc w:val="center"/>
        <w:rPr>
          <w:sz w:val="24"/>
          <w:szCs w:val="24"/>
          <w:lang w:val="ru-RU"/>
        </w:rPr>
      </w:pPr>
    </w:p>
    <w:p w:rsidR="00A81628" w:rsidRPr="00A81628" w:rsidRDefault="00A81628" w:rsidP="00A81628">
      <w:pPr>
        <w:tabs>
          <w:tab w:val="left" w:pos="4253"/>
        </w:tabs>
        <w:rPr>
          <w:sz w:val="24"/>
          <w:szCs w:val="24"/>
          <w:lang w:val="ru-RU"/>
        </w:rPr>
      </w:pPr>
      <w:r w:rsidRPr="00A81628">
        <w:rPr>
          <w:sz w:val="24"/>
          <w:szCs w:val="24"/>
          <w:lang w:val="ru-RU"/>
        </w:rPr>
        <w:t xml:space="preserve">С.н.с. </w:t>
      </w:r>
      <w:r w:rsidRPr="00A81628">
        <w:rPr>
          <w:sz w:val="24"/>
          <w:szCs w:val="24"/>
          <w:lang w:val="ru-RU"/>
        </w:rPr>
        <w:tab/>
        <w:t>______________________ Тогоева Л.Т.</w:t>
      </w:r>
    </w:p>
    <w:p w:rsidR="00A81628" w:rsidRPr="00A81628" w:rsidRDefault="00A81628" w:rsidP="00A81628">
      <w:pPr>
        <w:jc w:val="center"/>
        <w:rPr>
          <w:sz w:val="24"/>
          <w:szCs w:val="24"/>
          <w:lang w:val="ru-RU"/>
        </w:rPr>
      </w:pPr>
      <w:r w:rsidRPr="00A81628">
        <w:rPr>
          <w:sz w:val="24"/>
          <w:szCs w:val="24"/>
          <w:lang w:val="ru-RU"/>
        </w:rPr>
        <w:tab/>
      </w:r>
      <w:r w:rsidRPr="00A81628">
        <w:rPr>
          <w:sz w:val="24"/>
          <w:szCs w:val="24"/>
          <w:lang w:val="ru-RU"/>
        </w:rPr>
        <w:tab/>
        <w:t>подпись, дата</w:t>
      </w:r>
    </w:p>
    <w:p w:rsidR="00A81628" w:rsidRPr="00A81628" w:rsidRDefault="00A81628" w:rsidP="00A81628">
      <w:pPr>
        <w:jc w:val="center"/>
        <w:rPr>
          <w:sz w:val="24"/>
          <w:szCs w:val="24"/>
          <w:lang w:val="ru-RU"/>
        </w:rPr>
      </w:pPr>
    </w:p>
    <w:p w:rsidR="00A81628" w:rsidRPr="00A81628" w:rsidRDefault="00A81628" w:rsidP="00A81628">
      <w:pPr>
        <w:tabs>
          <w:tab w:val="left" w:pos="4253"/>
        </w:tabs>
        <w:rPr>
          <w:sz w:val="24"/>
          <w:szCs w:val="24"/>
          <w:lang w:val="ru-RU"/>
        </w:rPr>
      </w:pPr>
      <w:r w:rsidRPr="00A81628">
        <w:rPr>
          <w:sz w:val="24"/>
          <w:szCs w:val="24"/>
          <w:lang w:val="ru-RU"/>
        </w:rPr>
        <w:t xml:space="preserve">М.н.с. </w:t>
      </w:r>
      <w:r w:rsidRPr="00A81628">
        <w:rPr>
          <w:sz w:val="24"/>
          <w:szCs w:val="24"/>
          <w:lang w:val="ru-RU"/>
        </w:rPr>
        <w:tab/>
        <w:t>______________________ Соболева А.Г.</w:t>
      </w:r>
    </w:p>
    <w:p w:rsidR="00A81628" w:rsidRPr="00A81628" w:rsidRDefault="00A81628" w:rsidP="00A81628">
      <w:pPr>
        <w:jc w:val="center"/>
        <w:rPr>
          <w:sz w:val="24"/>
          <w:szCs w:val="24"/>
          <w:lang w:val="ru-RU"/>
        </w:rPr>
      </w:pPr>
      <w:r w:rsidRPr="00A81628">
        <w:rPr>
          <w:sz w:val="24"/>
          <w:szCs w:val="24"/>
          <w:lang w:val="ru-RU"/>
        </w:rPr>
        <w:tab/>
      </w:r>
      <w:r w:rsidRPr="00A81628">
        <w:rPr>
          <w:sz w:val="24"/>
          <w:szCs w:val="24"/>
          <w:lang w:val="ru-RU"/>
        </w:rPr>
        <w:tab/>
        <w:t>подпись, дата</w:t>
      </w:r>
    </w:p>
    <w:p w:rsidR="00A81628" w:rsidRPr="00A81628" w:rsidRDefault="00A81628" w:rsidP="00A81628">
      <w:pPr>
        <w:jc w:val="center"/>
        <w:rPr>
          <w:sz w:val="24"/>
          <w:szCs w:val="24"/>
          <w:lang w:val="ru-RU"/>
        </w:rPr>
      </w:pPr>
    </w:p>
    <w:p w:rsidR="00A81628" w:rsidRPr="00A81628" w:rsidRDefault="00A81628" w:rsidP="00A81628">
      <w:pPr>
        <w:tabs>
          <w:tab w:val="left" w:pos="4253"/>
        </w:tabs>
        <w:rPr>
          <w:sz w:val="24"/>
          <w:szCs w:val="24"/>
          <w:lang w:val="ru-RU"/>
        </w:rPr>
      </w:pPr>
      <w:r w:rsidRPr="00A81628">
        <w:rPr>
          <w:sz w:val="24"/>
          <w:szCs w:val="24"/>
          <w:lang w:val="ru-RU"/>
        </w:rPr>
        <w:t xml:space="preserve">С.н.с. </w:t>
      </w:r>
      <w:r w:rsidRPr="00A81628">
        <w:rPr>
          <w:sz w:val="24"/>
          <w:szCs w:val="24"/>
          <w:lang w:val="ru-RU"/>
        </w:rPr>
        <w:tab/>
        <w:t>______________________ Соболев В.В.</w:t>
      </w:r>
    </w:p>
    <w:p w:rsidR="00A81628" w:rsidRPr="00A81628" w:rsidRDefault="00A81628" w:rsidP="00A81628">
      <w:pPr>
        <w:jc w:val="center"/>
        <w:rPr>
          <w:sz w:val="24"/>
          <w:szCs w:val="24"/>
          <w:lang w:val="ru-RU"/>
        </w:rPr>
      </w:pPr>
      <w:r w:rsidRPr="00A81628">
        <w:rPr>
          <w:sz w:val="24"/>
          <w:szCs w:val="24"/>
          <w:lang w:val="ru-RU"/>
        </w:rPr>
        <w:tab/>
      </w:r>
      <w:r w:rsidRPr="00A81628">
        <w:rPr>
          <w:sz w:val="24"/>
          <w:szCs w:val="24"/>
          <w:lang w:val="ru-RU"/>
        </w:rPr>
        <w:tab/>
        <w:t>подпись, дата</w:t>
      </w:r>
    </w:p>
    <w:p w:rsidR="00A81628" w:rsidRPr="00EF052E" w:rsidRDefault="00A81628" w:rsidP="00A81628">
      <w:pPr>
        <w:jc w:val="center"/>
        <w:rPr>
          <w:sz w:val="24"/>
          <w:szCs w:val="24"/>
          <w:lang w:val="ru-RU"/>
        </w:rPr>
      </w:pPr>
    </w:p>
    <w:p w:rsidR="00A81628" w:rsidRPr="00EF052E" w:rsidRDefault="00A81628" w:rsidP="00A81628">
      <w:pPr>
        <w:jc w:val="center"/>
        <w:rPr>
          <w:sz w:val="24"/>
          <w:szCs w:val="24"/>
          <w:lang w:val="ru-RU"/>
        </w:rPr>
      </w:pPr>
    </w:p>
    <w:p w:rsidR="00A81628" w:rsidRPr="00A81628" w:rsidRDefault="00A81628" w:rsidP="00A81628">
      <w:pPr>
        <w:tabs>
          <w:tab w:val="left" w:pos="4253"/>
        </w:tabs>
        <w:rPr>
          <w:sz w:val="24"/>
          <w:szCs w:val="24"/>
          <w:lang w:val="ru-RU"/>
        </w:rPr>
      </w:pPr>
      <w:r w:rsidRPr="00A81628">
        <w:rPr>
          <w:sz w:val="24"/>
          <w:szCs w:val="24"/>
          <w:lang w:val="ru-RU"/>
        </w:rPr>
        <w:lastRenderedPageBreak/>
        <w:t xml:space="preserve">Гл. н.с., д.б.н. </w:t>
      </w:r>
      <w:r w:rsidRPr="00A81628">
        <w:rPr>
          <w:sz w:val="24"/>
          <w:szCs w:val="24"/>
          <w:lang w:val="ru-RU"/>
        </w:rPr>
        <w:tab/>
        <w:t>______________________ Кабанкин А.С.</w:t>
      </w:r>
    </w:p>
    <w:p w:rsidR="00A81628" w:rsidRPr="00A81628" w:rsidRDefault="00A81628" w:rsidP="00A81628">
      <w:pPr>
        <w:jc w:val="center"/>
        <w:rPr>
          <w:sz w:val="24"/>
          <w:szCs w:val="24"/>
          <w:lang w:val="ru-RU"/>
        </w:rPr>
      </w:pPr>
      <w:r w:rsidRPr="00A81628">
        <w:rPr>
          <w:sz w:val="24"/>
          <w:szCs w:val="24"/>
          <w:lang w:val="ru-RU"/>
        </w:rPr>
        <w:tab/>
      </w:r>
      <w:r w:rsidRPr="00A81628">
        <w:rPr>
          <w:sz w:val="24"/>
          <w:szCs w:val="24"/>
          <w:lang w:val="ru-RU"/>
        </w:rPr>
        <w:tab/>
        <w:t>подпись, дата</w:t>
      </w:r>
    </w:p>
    <w:p w:rsidR="00A81628" w:rsidRPr="00A81628" w:rsidRDefault="00A81628" w:rsidP="00A81628">
      <w:pPr>
        <w:jc w:val="center"/>
        <w:rPr>
          <w:sz w:val="24"/>
          <w:szCs w:val="24"/>
          <w:lang w:val="ru-RU"/>
        </w:rPr>
      </w:pPr>
    </w:p>
    <w:p w:rsidR="00A81628" w:rsidRPr="00A81628" w:rsidRDefault="00A81628" w:rsidP="00A81628">
      <w:pPr>
        <w:tabs>
          <w:tab w:val="left" w:pos="4253"/>
        </w:tabs>
        <w:rPr>
          <w:sz w:val="24"/>
          <w:szCs w:val="24"/>
          <w:lang w:val="ru-RU"/>
        </w:rPr>
      </w:pPr>
      <w:r w:rsidRPr="00A81628">
        <w:rPr>
          <w:sz w:val="24"/>
          <w:szCs w:val="24"/>
          <w:lang w:val="ru-RU"/>
        </w:rPr>
        <w:t xml:space="preserve">С.н.с., к.б.н. </w:t>
      </w:r>
      <w:r w:rsidRPr="00A81628">
        <w:rPr>
          <w:sz w:val="24"/>
          <w:szCs w:val="24"/>
          <w:lang w:val="ru-RU"/>
        </w:rPr>
        <w:tab/>
        <w:t>______________________ Синцов А.В.</w:t>
      </w:r>
    </w:p>
    <w:p w:rsidR="00A81628" w:rsidRPr="00A81628" w:rsidRDefault="00A81628" w:rsidP="00A81628">
      <w:pPr>
        <w:jc w:val="center"/>
        <w:rPr>
          <w:sz w:val="24"/>
          <w:szCs w:val="24"/>
          <w:lang w:val="ru-RU"/>
        </w:rPr>
      </w:pPr>
      <w:r w:rsidRPr="00A81628">
        <w:rPr>
          <w:sz w:val="24"/>
          <w:szCs w:val="24"/>
          <w:lang w:val="ru-RU"/>
        </w:rPr>
        <w:tab/>
      </w:r>
      <w:r w:rsidRPr="00A81628">
        <w:rPr>
          <w:sz w:val="24"/>
          <w:szCs w:val="24"/>
          <w:lang w:val="ru-RU"/>
        </w:rPr>
        <w:tab/>
        <w:t>подпись, дата</w:t>
      </w:r>
    </w:p>
    <w:p w:rsidR="00A81628" w:rsidRPr="00A81628" w:rsidRDefault="00A81628" w:rsidP="00A81628">
      <w:pPr>
        <w:jc w:val="center"/>
        <w:rPr>
          <w:sz w:val="24"/>
          <w:szCs w:val="24"/>
          <w:lang w:val="ru-RU"/>
        </w:rPr>
      </w:pPr>
    </w:p>
    <w:p w:rsidR="00A81628" w:rsidRPr="00A81628" w:rsidRDefault="00A81628" w:rsidP="00A81628">
      <w:pPr>
        <w:tabs>
          <w:tab w:val="left" w:pos="4253"/>
        </w:tabs>
        <w:rPr>
          <w:sz w:val="24"/>
          <w:szCs w:val="24"/>
          <w:lang w:val="ru-RU"/>
        </w:rPr>
      </w:pPr>
      <w:r w:rsidRPr="00A81628">
        <w:rPr>
          <w:sz w:val="24"/>
          <w:szCs w:val="24"/>
          <w:lang w:val="ru-RU"/>
        </w:rPr>
        <w:t xml:space="preserve">М.н.с. </w:t>
      </w:r>
      <w:r w:rsidRPr="00A81628">
        <w:rPr>
          <w:sz w:val="24"/>
          <w:szCs w:val="24"/>
          <w:lang w:val="ru-RU"/>
        </w:rPr>
        <w:tab/>
        <w:t>______________________ Кузнецова А.Р.</w:t>
      </w:r>
    </w:p>
    <w:p w:rsidR="00A81628" w:rsidRPr="00A81628" w:rsidRDefault="00A81628" w:rsidP="00A81628">
      <w:pPr>
        <w:jc w:val="center"/>
        <w:rPr>
          <w:sz w:val="24"/>
          <w:szCs w:val="24"/>
          <w:lang w:val="ru-RU"/>
        </w:rPr>
      </w:pPr>
      <w:r w:rsidRPr="00A81628">
        <w:rPr>
          <w:sz w:val="24"/>
          <w:szCs w:val="24"/>
          <w:lang w:val="ru-RU"/>
        </w:rPr>
        <w:tab/>
      </w:r>
      <w:r w:rsidRPr="00A81628">
        <w:rPr>
          <w:sz w:val="24"/>
          <w:szCs w:val="24"/>
          <w:lang w:val="ru-RU"/>
        </w:rPr>
        <w:tab/>
        <w:t>подпись, дата</w:t>
      </w:r>
    </w:p>
    <w:p w:rsidR="00A81628" w:rsidRPr="00A81628" w:rsidRDefault="00A81628" w:rsidP="00A81628">
      <w:pPr>
        <w:jc w:val="center"/>
        <w:rPr>
          <w:sz w:val="24"/>
          <w:szCs w:val="24"/>
          <w:lang w:val="ru-RU"/>
        </w:rPr>
      </w:pPr>
    </w:p>
    <w:p w:rsidR="00A81628" w:rsidRPr="00A81628" w:rsidRDefault="00A81628" w:rsidP="00A81628">
      <w:pPr>
        <w:tabs>
          <w:tab w:val="left" w:pos="4253"/>
        </w:tabs>
        <w:rPr>
          <w:sz w:val="24"/>
          <w:szCs w:val="24"/>
          <w:lang w:val="ru-RU"/>
        </w:rPr>
      </w:pPr>
      <w:r w:rsidRPr="00A81628">
        <w:rPr>
          <w:sz w:val="24"/>
          <w:szCs w:val="24"/>
          <w:lang w:val="ru-RU"/>
        </w:rPr>
        <w:t xml:space="preserve">Н.с. </w:t>
      </w:r>
      <w:r w:rsidRPr="00A81628">
        <w:rPr>
          <w:sz w:val="24"/>
          <w:szCs w:val="24"/>
          <w:lang w:val="ru-RU"/>
        </w:rPr>
        <w:tab/>
        <w:t>______________________ Соколов А.В.</w:t>
      </w:r>
    </w:p>
    <w:p w:rsidR="00A81628" w:rsidRPr="00A81628" w:rsidRDefault="00A81628" w:rsidP="00A81628">
      <w:pPr>
        <w:jc w:val="center"/>
        <w:rPr>
          <w:sz w:val="24"/>
          <w:szCs w:val="24"/>
          <w:lang w:val="ru-RU"/>
        </w:rPr>
      </w:pPr>
      <w:r w:rsidRPr="00A81628">
        <w:rPr>
          <w:sz w:val="24"/>
          <w:szCs w:val="24"/>
          <w:lang w:val="ru-RU"/>
        </w:rPr>
        <w:tab/>
      </w:r>
      <w:r w:rsidRPr="00A81628">
        <w:rPr>
          <w:sz w:val="24"/>
          <w:szCs w:val="24"/>
          <w:lang w:val="ru-RU"/>
        </w:rPr>
        <w:tab/>
        <w:t>подпись, дата</w:t>
      </w:r>
    </w:p>
    <w:p w:rsidR="00A81628" w:rsidRPr="00A81628" w:rsidRDefault="00A81628" w:rsidP="00A81628">
      <w:pPr>
        <w:jc w:val="center"/>
        <w:rPr>
          <w:sz w:val="24"/>
          <w:szCs w:val="24"/>
          <w:lang w:val="ru-RU"/>
        </w:rPr>
      </w:pPr>
    </w:p>
    <w:p w:rsidR="00A81628" w:rsidRPr="00EF052E" w:rsidRDefault="00A81628" w:rsidP="00A81628">
      <w:pPr>
        <w:tabs>
          <w:tab w:val="left" w:pos="4253"/>
        </w:tabs>
        <w:rPr>
          <w:sz w:val="24"/>
          <w:szCs w:val="24"/>
          <w:lang w:val="ru-RU"/>
        </w:rPr>
      </w:pPr>
      <w:r w:rsidRPr="00A81628">
        <w:rPr>
          <w:sz w:val="24"/>
          <w:szCs w:val="24"/>
          <w:lang w:val="ru-RU"/>
        </w:rPr>
        <w:t xml:space="preserve">С.н.с. </w:t>
      </w:r>
      <w:r w:rsidRPr="00A81628">
        <w:rPr>
          <w:sz w:val="24"/>
          <w:szCs w:val="24"/>
          <w:lang w:val="ru-RU"/>
        </w:rPr>
        <w:tab/>
        <w:t xml:space="preserve">______________________ </w:t>
      </w:r>
      <w:r w:rsidRPr="00EF052E">
        <w:rPr>
          <w:sz w:val="24"/>
          <w:szCs w:val="24"/>
          <w:lang w:val="ru-RU"/>
        </w:rPr>
        <w:t>Телегин Л.Ю.</w:t>
      </w:r>
    </w:p>
    <w:p w:rsidR="00A81628" w:rsidRDefault="00A81628" w:rsidP="00A81628">
      <w:pPr>
        <w:jc w:val="center"/>
        <w:rPr>
          <w:sz w:val="24"/>
          <w:szCs w:val="24"/>
          <w:lang w:val="ru-RU"/>
        </w:rPr>
      </w:pPr>
      <w:r w:rsidRPr="00A81628">
        <w:rPr>
          <w:sz w:val="24"/>
          <w:szCs w:val="24"/>
          <w:lang w:val="ru-RU"/>
        </w:rPr>
        <w:tab/>
      </w:r>
      <w:r w:rsidRPr="00A81628">
        <w:rPr>
          <w:sz w:val="24"/>
          <w:szCs w:val="24"/>
          <w:lang w:val="ru-RU"/>
        </w:rPr>
        <w:tab/>
        <w:t>подпись, дата</w:t>
      </w:r>
    </w:p>
    <w:p w:rsidR="00EF052E" w:rsidRDefault="00EF052E" w:rsidP="00A81628">
      <w:pPr>
        <w:jc w:val="center"/>
        <w:rPr>
          <w:sz w:val="24"/>
          <w:szCs w:val="24"/>
          <w:lang w:val="ru-RU"/>
        </w:rPr>
      </w:pPr>
    </w:p>
    <w:p w:rsidR="00EF052E" w:rsidRPr="00EF052E" w:rsidRDefault="00EF052E" w:rsidP="00EF052E">
      <w:pPr>
        <w:tabs>
          <w:tab w:val="left" w:pos="4253"/>
        </w:tabs>
        <w:rPr>
          <w:sz w:val="24"/>
          <w:szCs w:val="24"/>
          <w:lang w:val="ru-RU"/>
        </w:rPr>
      </w:pPr>
      <w:r w:rsidRPr="00A81628">
        <w:rPr>
          <w:sz w:val="24"/>
          <w:szCs w:val="24"/>
          <w:lang w:val="ru-RU"/>
        </w:rPr>
        <w:t>С.н.с.</w:t>
      </w:r>
      <w:r>
        <w:rPr>
          <w:sz w:val="24"/>
          <w:szCs w:val="24"/>
          <w:lang w:val="ru-RU"/>
        </w:rPr>
        <w:t>, к.б.н., координатор</w:t>
      </w:r>
      <w:r w:rsidRPr="00A81628">
        <w:rPr>
          <w:sz w:val="24"/>
          <w:szCs w:val="24"/>
          <w:lang w:val="ru-RU"/>
        </w:rPr>
        <w:t xml:space="preserve"> </w:t>
      </w:r>
      <w:r w:rsidRPr="00A81628">
        <w:rPr>
          <w:sz w:val="24"/>
          <w:szCs w:val="24"/>
          <w:lang w:val="ru-RU"/>
        </w:rPr>
        <w:tab/>
        <w:t xml:space="preserve">______________________ </w:t>
      </w:r>
      <w:r>
        <w:rPr>
          <w:sz w:val="24"/>
          <w:szCs w:val="24"/>
          <w:lang w:val="ru-RU"/>
        </w:rPr>
        <w:t>Баландина А.Н.</w:t>
      </w:r>
    </w:p>
    <w:p w:rsidR="00EF052E" w:rsidRPr="00A81628" w:rsidRDefault="00EF052E" w:rsidP="00EF052E">
      <w:pPr>
        <w:jc w:val="center"/>
        <w:rPr>
          <w:sz w:val="24"/>
          <w:szCs w:val="24"/>
          <w:lang w:val="ru-RU"/>
        </w:rPr>
      </w:pPr>
      <w:r w:rsidRPr="00A81628">
        <w:rPr>
          <w:sz w:val="24"/>
          <w:szCs w:val="24"/>
          <w:lang w:val="ru-RU"/>
        </w:rPr>
        <w:tab/>
      </w:r>
      <w:r w:rsidRPr="00A81628">
        <w:rPr>
          <w:sz w:val="24"/>
          <w:szCs w:val="24"/>
          <w:lang w:val="ru-RU"/>
        </w:rPr>
        <w:tab/>
        <w:t>подпись, дата</w:t>
      </w:r>
    </w:p>
    <w:p w:rsidR="00EF052E" w:rsidRPr="00A81628" w:rsidRDefault="00EF052E" w:rsidP="00A81628">
      <w:pPr>
        <w:jc w:val="center"/>
        <w:rPr>
          <w:sz w:val="24"/>
          <w:szCs w:val="24"/>
          <w:lang w:val="ru-RU"/>
        </w:rPr>
      </w:pPr>
    </w:p>
    <w:p w:rsidR="00305B67" w:rsidRPr="00A81628" w:rsidRDefault="00305B67" w:rsidP="00305B67">
      <w:pPr>
        <w:spacing w:after="160" w:line="259" w:lineRule="auto"/>
        <w:jc w:val="left"/>
        <w:rPr>
          <w:sz w:val="24"/>
          <w:szCs w:val="24"/>
          <w:lang w:val="ru-RU"/>
        </w:rPr>
      </w:pPr>
      <w:r w:rsidRPr="00A81628">
        <w:rPr>
          <w:sz w:val="24"/>
          <w:szCs w:val="24"/>
          <w:lang w:val="ru-RU"/>
        </w:rPr>
        <w:br w:type="page"/>
      </w:r>
    </w:p>
    <w:p w:rsidR="00ED3DC2" w:rsidRPr="00BF340D" w:rsidRDefault="00ED3DC2" w:rsidP="00ED3DC2">
      <w:pPr>
        <w:spacing w:line="360" w:lineRule="auto"/>
        <w:ind w:firstLine="540"/>
        <w:rPr>
          <w:sz w:val="24"/>
          <w:szCs w:val="24"/>
          <w:lang w:val="ru-RU"/>
        </w:rPr>
      </w:pPr>
      <w:r w:rsidRPr="00BF340D">
        <w:rPr>
          <w:b/>
          <w:sz w:val="24"/>
          <w:szCs w:val="24"/>
          <w:lang w:val="ru-RU"/>
        </w:rPr>
        <w:lastRenderedPageBreak/>
        <w:t>Реферат</w:t>
      </w:r>
      <w:r w:rsidRPr="00BF340D">
        <w:rPr>
          <w:sz w:val="24"/>
          <w:szCs w:val="24"/>
          <w:lang w:val="ru-RU"/>
        </w:rPr>
        <w:t xml:space="preserve"> </w:t>
      </w:r>
    </w:p>
    <w:p w:rsidR="00ED3DC2" w:rsidRPr="00C314DA" w:rsidRDefault="00ED3DC2" w:rsidP="00ED3DC2">
      <w:pPr>
        <w:rPr>
          <w:sz w:val="24"/>
          <w:szCs w:val="24"/>
          <w:lang w:val="ru-RU"/>
        </w:rPr>
      </w:pPr>
      <w:r w:rsidRPr="00C314DA">
        <w:rPr>
          <w:sz w:val="24"/>
          <w:szCs w:val="24"/>
          <w:lang w:val="ru-RU"/>
        </w:rPr>
        <w:t xml:space="preserve">Отчет </w:t>
      </w:r>
      <w:r w:rsidR="00C314DA" w:rsidRPr="00C314DA">
        <w:rPr>
          <w:sz w:val="24"/>
          <w:szCs w:val="24"/>
          <w:lang w:val="ru-RU"/>
        </w:rPr>
        <w:t>17</w:t>
      </w:r>
      <w:r w:rsidRPr="00C314DA">
        <w:rPr>
          <w:sz w:val="24"/>
          <w:szCs w:val="24"/>
          <w:lang w:val="ru-RU"/>
        </w:rPr>
        <w:t xml:space="preserve"> стр., </w:t>
      </w:r>
      <w:r w:rsidR="00034FB1" w:rsidRPr="00C314DA">
        <w:rPr>
          <w:sz w:val="24"/>
          <w:szCs w:val="24"/>
          <w:lang w:val="ru-RU"/>
        </w:rPr>
        <w:t>1</w:t>
      </w:r>
      <w:r w:rsidRPr="00C314DA">
        <w:rPr>
          <w:sz w:val="24"/>
          <w:szCs w:val="24"/>
          <w:lang w:val="ru-RU"/>
        </w:rPr>
        <w:t xml:space="preserve"> ч., </w:t>
      </w:r>
      <w:r w:rsidR="00376133" w:rsidRPr="00C314DA">
        <w:rPr>
          <w:sz w:val="24"/>
          <w:szCs w:val="24"/>
          <w:lang w:val="ru-RU"/>
        </w:rPr>
        <w:t>2 табл.</w:t>
      </w:r>
      <w:r w:rsidRPr="00C314DA">
        <w:rPr>
          <w:sz w:val="24"/>
          <w:szCs w:val="24"/>
          <w:lang w:val="ru-RU"/>
        </w:rPr>
        <w:t xml:space="preserve">, </w:t>
      </w:r>
      <w:r w:rsidR="00C314DA" w:rsidRPr="00C314DA">
        <w:rPr>
          <w:sz w:val="24"/>
          <w:szCs w:val="24"/>
          <w:lang w:val="ru-RU"/>
        </w:rPr>
        <w:t>1</w:t>
      </w:r>
      <w:r w:rsidR="00513773" w:rsidRPr="00C314DA">
        <w:rPr>
          <w:sz w:val="24"/>
          <w:szCs w:val="24"/>
          <w:lang w:val="ru-RU"/>
        </w:rPr>
        <w:t>8</w:t>
      </w:r>
      <w:r w:rsidR="00DB4377" w:rsidRPr="00C314DA">
        <w:rPr>
          <w:sz w:val="24"/>
          <w:szCs w:val="24"/>
          <w:lang w:val="ru-RU"/>
        </w:rPr>
        <w:t xml:space="preserve"> источник</w:t>
      </w:r>
      <w:r w:rsidR="00713C22" w:rsidRPr="00C314DA">
        <w:rPr>
          <w:sz w:val="24"/>
          <w:szCs w:val="24"/>
          <w:lang w:val="ru-RU"/>
        </w:rPr>
        <w:t>ов</w:t>
      </w:r>
      <w:r w:rsidRPr="00C314DA">
        <w:rPr>
          <w:sz w:val="24"/>
          <w:szCs w:val="24"/>
          <w:lang w:val="ru-RU"/>
        </w:rPr>
        <w:t>.</w:t>
      </w:r>
    </w:p>
    <w:p w:rsidR="00ED3DC2" w:rsidRPr="00802D47" w:rsidRDefault="00ED3DC2" w:rsidP="00ED3DC2">
      <w:pPr>
        <w:rPr>
          <w:sz w:val="24"/>
          <w:szCs w:val="24"/>
          <w:lang w:val="ru-RU"/>
        </w:rPr>
      </w:pPr>
      <w:r w:rsidRPr="00802D47">
        <w:rPr>
          <w:sz w:val="24"/>
          <w:szCs w:val="24"/>
          <w:lang w:val="ru-RU"/>
        </w:rPr>
        <w:t xml:space="preserve">Ключевые слова: </w:t>
      </w:r>
      <w:r w:rsidR="00802D47" w:rsidRPr="00802D47">
        <w:rPr>
          <w:sz w:val="24"/>
          <w:szCs w:val="24"/>
          <w:lang w:val="ru-RU"/>
        </w:rPr>
        <w:t>рассеянный склероз, цитокины,циклический терпеноид, брусатол, Метаболический синдром, структура питания</w:t>
      </w:r>
      <w:r w:rsidRPr="00802D47">
        <w:rPr>
          <w:sz w:val="24"/>
          <w:szCs w:val="24"/>
          <w:lang w:val="ru-RU"/>
        </w:rPr>
        <w:t>.</w:t>
      </w:r>
    </w:p>
    <w:p w:rsidR="00996463" w:rsidRPr="00376133" w:rsidRDefault="00996463" w:rsidP="00034FB1">
      <w:pPr>
        <w:ind w:firstLine="539"/>
        <w:rPr>
          <w:sz w:val="24"/>
          <w:szCs w:val="24"/>
          <w:lang w:val="ru-RU"/>
        </w:rPr>
      </w:pPr>
      <w:r w:rsidRPr="00376133">
        <w:rPr>
          <w:sz w:val="24"/>
          <w:szCs w:val="24"/>
          <w:lang w:val="ru-RU"/>
        </w:rPr>
        <w:t xml:space="preserve">Цель исследования </w:t>
      </w:r>
      <w:r w:rsidR="00AC2E5B" w:rsidRPr="00376133">
        <w:rPr>
          <w:sz w:val="24"/>
          <w:szCs w:val="24"/>
          <w:lang w:val="ru-RU"/>
        </w:rPr>
        <w:t>–</w:t>
      </w:r>
      <w:r w:rsidRPr="00376133">
        <w:rPr>
          <w:sz w:val="24"/>
          <w:szCs w:val="24"/>
          <w:lang w:val="ru-RU"/>
        </w:rPr>
        <w:t xml:space="preserve"> </w:t>
      </w:r>
      <w:r w:rsidR="00376133" w:rsidRPr="00376133">
        <w:rPr>
          <w:sz w:val="24"/>
          <w:szCs w:val="24"/>
          <w:lang w:val="ru-RU"/>
        </w:rPr>
        <w:t>выявление и изучение неблагоприятных факторов внешней среды, образа жизни и полиморфизма генов, определяющих предрасположенность к возникновению мультифакторных заболеваний как основа предиктивной медицины</w:t>
      </w:r>
      <w:r w:rsidRPr="00376133">
        <w:rPr>
          <w:sz w:val="24"/>
          <w:szCs w:val="24"/>
          <w:lang w:val="ru-RU"/>
        </w:rPr>
        <w:t>.</w:t>
      </w:r>
    </w:p>
    <w:p w:rsidR="003C79E0" w:rsidRDefault="00720A39" w:rsidP="003C79E0">
      <w:pPr>
        <w:ind w:firstLine="539"/>
        <w:rPr>
          <w:sz w:val="24"/>
          <w:szCs w:val="24"/>
          <w:lang w:val="ru-RU"/>
        </w:rPr>
      </w:pPr>
      <w:r w:rsidRPr="003C79E0">
        <w:rPr>
          <w:sz w:val="24"/>
          <w:szCs w:val="24"/>
          <w:lang w:val="ru-RU"/>
        </w:rPr>
        <w:t>В ходе выполнения работы был</w:t>
      </w:r>
      <w:r w:rsidR="003C79E0" w:rsidRPr="003C79E0">
        <w:rPr>
          <w:sz w:val="24"/>
          <w:szCs w:val="24"/>
          <w:lang w:val="ru-RU"/>
        </w:rPr>
        <w:t>о показано, что с</w:t>
      </w:r>
      <w:r w:rsidR="00956EEB" w:rsidRPr="003C79E0">
        <w:rPr>
          <w:sz w:val="24"/>
          <w:szCs w:val="24"/>
          <w:lang w:val="ru-RU"/>
        </w:rPr>
        <w:t xml:space="preserve">очетанное </w:t>
      </w:r>
      <w:r w:rsidR="003C79E0" w:rsidRPr="003C79E0">
        <w:rPr>
          <w:sz w:val="24"/>
          <w:szCs w:val="24"/>
          <w:lang w:val="ru-RU"/>
        </w:rPr>
        <w:t>применение</w:t>
      </w:r>
      <w:r w:rsidR="00956EEB" w:rsidRPr="003C79E0">
        <w:rPr>
          <w:sz w:val="24"/>
          <w:szCs w:val="24"/>
          <w:lang w:val="ru-RU"/>
        </w:rPr>
        <w:t xml:space="preserve"> димедрола и</w:t>
      </w:r>
      <w:r w:rsidR="00956EEB" w:rsidRPr="00956EEB">
        <w:rPr>
          <w:sz w:val="24"/>
          <w:szCs w:val="24"/>
          <w:lang w:val="ru-RU"/>
        </w:rPr>
        <w:t xml:space="preserve"> никотина можно рассматривать как возможный </w:t>
      </w:r>
      <w:r w:rsidR="003C79E0" w:rsidRPr="00956EEB">
        <w:rPr>
          <w:sz w:val="24"/>
          <w:szCs w:val="24"/>
          <w:lang w:val="ru-RU"/>
        </w:rPr>
        <w:t>высокоэффективный</w:t>
      </w:r>
      <w:r w:rsidR="00956EEB" w:rsidRPr="00956EEB">
        <w:rPr>
          <w:sz w:val="24"/>
          <w:szCs w:val="24"/>
          <w:lang w:val="ru-RU"/>
        </w:rPr>
        <w:t xml:space="preserve"> способ фармакологической терапии экстрапирамидных расстройств при болезни Паркинсона.</w:t>
      </w:r>
      <w:r w:rsidR="003C79E0">
        <w:rPr>
          <w:sz w:val="24"/>
          <w:szCs w:val="24"/>
          <w:lang w:val="ru-RU"/>
        </w:rPr>
        <w:t xml:space="preserve"> </w:t>
      </w:r>
    </w:p>
    <w:p w:rsidR="003C79E0" w:rsidRDefault="003C79E0" w:rsidP="003C79E0">
      <w:pPr>
        <w:ind w:firstLine="539"/>
        <w:rPr>
          <w:sz w:val="24"/>
          <w:lang w:val="ru-RU"/>
        </w:rPr>
      </w:pPr>
      <w:r w:rsidRPr="003C79E0">
        <w:rPr>
          <w:sz w:val="24"/>
          <w:lang w:val="ru-RU"/>
        </w:rPr>
        <w:t>И</w:t>
      </w:r>
      <w:r w:rsidRPr="004E6571">
        <w:rPr>
          <w:sz w:val="24"/>
          <w:lang w:val="ru-RU"/>
        </w:rPr>
        <w:t>нгибирующее действие брусатола на активацию экспрессии iNOS в бета-клетках под действием IL-1β и IFNγ опосредовано посттранскрипционным механизмом</w:t>
      </w:r>
      <w:r w:rsidRPr="003C79E0">
        <w:rPr>
          <w:sz w:val="24"/>
          <w:lang w:val="ru-RU"/>
        </w:rPr>
        <w:t>.</w:t>
      </w:r>
      <w:r>
        <w:rPr>
          <w:sz w:val="24"/>
          <w:lang w:val="ru-RU"/>
        </w:rPr>
        <w:t xml:space="preserve"> </w:t>
      </w:r>
    </w:p>
    <w:p w:rsidR="003C79E0" w:rsidRDefault="003C79E0" w:rsidP="003C79E0">
      <w:pPr>
        <w:ind w:firstLine="539"/>
        <w:rPr>
          <w:iCs/>
          <w:sz w:val="24"/>
          <w:szCs w:val="28"/>
          <w:lang w:val="ru-RU"/>
        </w:rPr>
      </w:pPr>
      <w:r w:rsidRPr="007336BD">
        <w:rPr>
          <w:iCs/>
          <w:sz w:val="24"/>
          <w:szCs w:val="28"/>
          <w:lang w:val="ru-RU"/>
        </w:rPr>
        <w:t>Исследование полиморфных вариантов генов предрасположенности к паническому расстройству при псориазе</w:t>
      </w:r>
      <w:r>
        <w:rPr>
          <w:iCs/>
          <w:sz w:val="24"/>
          <w:szCs w:val="28"/>
          <w:lang w:val="ru-RU"/>
        </w:rPr>
        <w:t xml:space="preserve"> </w:t>
      </w:r>
      <w:r w:rsidRPr="007336BD">
        <w:rPr>
          <w:iCs/>
          <w:sz w:val="24"/>
          <w:szCs w:val="28"/>
          <w:lang w:val="ru-RU"/>
        </w:rPr>
        <w:t>показало возможность вовлеченности дофаминергической системы в развитие псориаза.</w:t>
      </w:r>
      <w:r>
        <w:rPr>
          <w:iCs/>
          <w:sz w:val="24"/>
          <w:szCs w:val="28"/>
          <w:lang w:val="ru-RU"/>
        </w:rPr>
        <w:t xml:space="preserve"> </w:t>
      </w:r>
    </w:p>
    <w:p w:rsidR="00720A39" w:rsidRDefault="003C79E0" w:rsidP="003C79E0">
      <w:pPr>
        <w:ind w:firstLine="539"/>
        <w:rPr>
          <w:sz w:val="24"/>
          <w:szCs w:val="24"/>
          <w:lang w:val="ru-RU"/>
        </w:rPr>
      </w:pPr>
      <w:r w:rsidRPr="007336BD">
        <w:rPr>
          <w:sz w:val="24"/>
          <w:lang w:val="ru-RU"/>
        </w:rPr>
        <w:t xml:space="preserve">В странах с высокой частотой РМЖ состав </w:t>
      </w:r>
      <w:r w:rsidRPr="003C79E0">
        <w:rPr>
          <w:sz w:val="24"/>
          <w:lang w:val="ru-RU"/>
        </w:rPr>
        <w:t xml:space="preserve">структуры питания сдвинут в сторону меньшего потребления </w:t>
      </w:r>
      <w:r w:rsidRPr="007336BD">
        <w:rPr>
          <w:sz w:val="24"/>
          <w:lang w:val="ru-RU"/>
        </w:rPr>
        <w:t>зерна</w:t>
      </w:r>
      <w:r w:rsidRPr="003C79E0">
        <w:rPr>
          <w:sz w:val="24"/>
          <w:lang w:val="ru-RU"/>
        </w:rPr>
        <w:t xml:space="preserve"> и</w:t>
      </w:r>
      <w:r w:rsidRPr="007336BD">
        <w:rPr>
          <w:sz w:val="24"/>
          <w:lang w:val="ru-RU"/>
        </w:rPr>
        <w:t xml:space="preserve"> овощ</w:t>
      </w:r>
      <w:r w:rsidRPr="003C79E0">
        <w:rPr>
          <w:sz w:val="24"/>
          <w:lang w:val="ru-RU"/>
        </w:rPr>
        <w:t>ей и большего потребления алкогольных напитков по сравнению</w:t>
      </w:r>
      <w:r w:rsidRPr="007336BD">
        <w:rPr>
          <w:sz w:val="24"/>
          <w:lang w:val="ru-RU"/>
        </w:rPr>
        <w:t xml:space="preserve"> </w:t>
      </w:r>
      <w:r w:rsidRPr="003C79E0">
        <w:rPr>
          <w:sz w:val="24"/>
          <w:lang w:val="ru-RU"/>
        </w:rPr>
        <w:t xml:space="preserve">со странами </w:t>
      </w:r>
      <w:r w:rsidRPr="007336BD">
        <w:rPr>
          <w:sz w:val="24"/>
          <w:lang w:val="ru-RU"/>
        </w:rPr>
        <w:t>с низкой частотой РМЖ.</w:t>
      </w:r>
    </w:p>
    <w:p w:rsidR="001714A1" w:rsidRPr="00305B67" w:rsidRDefault="001714A1" w:rsidP="001714A1">
      <w:pPr>
        <w:pStyle w:val="10"/>
        <w:pageBreakBefore/>
        <w:jc w:val="center"/>
        <w:rPr>
          <w:rFonts w:ascii="Times New Roman" w:hAnsi="Times New Roman"/>
          <w:color w:val="auto"/>
          <w:lang w:val="ru-RU"/>
        </w:rPr>
      </w:pPr>
      <w:r w:rsidRPr="00305B67">
        <w:rPr>
          <w:rFonts w:ascii="Times New Roman" w:hAnsi="Times New Roman"/>
          <w:color w:val="auto"/>
          <w:lang w:val="ru-RU"/>
        </w:rPr>
        <w:lastRenderedPageBreak/>
        <w:t>Содержание</w:t>
      </w:r>
    </w:p>
    <w:p w:rsidR="00B556C8" w:rsidRDefault="001714A1">
      <w:pPr>
        <w:pStyle w:val="TOC2"/>
        <w:tabs>
          <w:tab w:val="right" w:leader="dot" w:pos="9679"/>
        </w:tabs>
        <w:rPr>
          <w:rFonts w:asciiTheme="minorHAnsi" w:eastAsiaTheme="minorEastAsia" w:hAnsiTheme="minorHAnsi" w:cstheme="minorBidi"/>
          <w:noProof/>
          <w:lang w:val="ru-RU" w:eastAsia="ru-RU"/>
        </w:rPr>
      </w:pPr>
      <w:r w:rsidRPr="0042459A">
        <w:rPr>
          <w:sz w:val="28"/>
        </w:rPr>
        <w:fldChar w:fldCharType="begin"/>
      </w:r>
      <w:r w:rsidRPr="0042459A">
        <w:rPr>
          <w:sz w:val="28"/>
          <w:lang w:val="ru-RU"/>
        </w:rPr>
        <w:instrText xml:space="preserve"> </w:instrText>
      </w:r>
      <w:r w:rsidRPr="0042459A">
        <w:rPr>
          <w:sz w:val="28"/>
        </w:rPr>
        <w:instrText>TOC</w:instrText>
      </w:r>
      <w:r w:rsidRPr="0042459A">
        <w:rPr>
          <w:sz w:val="28"/>
          <w:lang w:val="ru-RU"/>
        </w:rPr>
        <w:instrText xml:space="preserve"> \</w:instrText>
      </w:r>
      <w:r w:rsidRPr="0042459A">
        <w:rPr>
          <w:sz w:val="28"/>
        </w:rPr>
        <w:instrText>o</w:instrText>
      </w:r>
      <w:r w:rsidRPr="0042459A">
        <w:rPr>
          <w:sz w:val="28"/>
          <w:lang w:val="ru-RU"/>
        </w:rPr>
        <w:instrText xml:space="preserve"> "1-3" \</w:instrText>
      </w:r>
      <w:r w:rsidRPr="0042459A">
        <w:rPr>
          <w:sz w:val="28"/>
        </w:rPr>
        <w:instrText>h</w:instrText>
      </w:r>
      <w:r w:rsidRPr="0042459A">
        <w:rPr>
          <w:sz w:val="28"/>
          <w:lang w:val="ru-RU"/>
        </w:rPr>
        <w:instrText xml:space="preserve"> \</w:instrText>
      </w:r>
      <w:r w:rsidRPr="0042459A">
        <w:rPr>
          <w:sz w:val="28"/>
        </w:rPr>
        <w:instrText>z</w:instrText>
      </w:r>
      <w:r w:rsidRPr="0042459A">
        <w:rPr>
          <w:sz w:val="28"/>
          <w:lang w:val="ru-RU"/>
        </w:rPr>
        <w:instrText xml:space="preserve"> \</w:instrText>
      </w:r>
      <w:r w:rsidRPr="0042459A">
        <w:rPr>
          <w:sz w:val="28"/>
        </w:rPr>
        <w:instrText>u</w:instrText>
      </w:r>
      <w:r w:rsidRPr="0042459A">
        <w:rPr>
          <w:sz w:val="28"/>
          <w:lang w:val="ru-RU"/>
        </w:rPr>
        <w:instrText xml:space="preserve"> </w:instrText>
      </w:r>
      <w:r w:rsidRPr="0042459A">
        <w:rPr>
          <w:sz w:val="28"/>
        </w:rPr>
        <w:fldChar w:fldCharType="separate"/>
      </w:r>
      <w:hyperlink w:anchor="_Toc473556926" w:history="1">
        <w:r w:rsidR="00B556C8" w:rsidRPr="00DA3485">
          <w:rPr>
            <w:rStyle w:val="Hyperlink"/>
            <w:noProof/>
            <w:lang w:val="ru-RU"/>
          </w:rPr>
          <w:t>Обозначения и сокращения</w:t>
        </w:r>
        <w:r w:rsidR="00B556C8">
          <w:rPr>
            <w:noProof/>
            <w:webHidden/>
          </w:rPr>
          <w:tab/>
        </w:r>
        <w:r w:rsidR="00B556C8">
          <w:rPr>
            <w:noProof/>
            <w:webHidden/>
          </w:rPr>
          <w:fldChar w:fldCharType="begin"/>
        </w:r>
        <w:r w:rsidR="00B556C8">
          <w:rPr>
            <w:noProof/>
            <w:webHidden/>
          </w:rPr>
          <w:instrText xml:space="preserve"> PAGEREF _Toc473556926 \h </w:instrText>
        </w:r>
        <w:r w:rsidR="00B556C8">
          <w:rPr>
            <w:noProof/>
            <w:webHidden/>
          </w:rPr>
        </w:r>
        <w:r w:rsidR="00B556C8">
          <w:rPr>
            <w:noProof/>
            <w:webHidden/>
          </w:rPr>
          <w:fldChar w:fldCharType="separate"/>
        </w:r>
        <w:r w:rsidR="00B556C8">
          <w:rPr>
            <w:noProof/>
            <w:webHidden/>
          </w:rPr>
          <w:t>6</w:t>
        </w:r>
        <w:r w:rsidR="00B556C8">
          <w:rPr>
            <w:noProof/>
            <w:webHidden/>
          </w:rPr>
          <w:fldChar w:fldCharType="end"/>
        </w:r>
      </w:hyperlink>
    </w:p>
    <w:p w:rsidR="00B556C8" w:rsidRDefault="00355D8C">
      <w:pPr>
        <w:pStyle w:val="TOC2"/>
        <w:tabs>
          <w:tab w:val="right" w:leader="dot" w:pos="9679"/>
        </w:tabs>
        <w:rPr>
          <w:rFonts w:asciiTheme="minorHAnsi" w:eastAsiaTheme="minorEastAsia" w:hAnsiTheme="minorHAnsi" w:cstheme="minorBidi"/>
          <w:noProof/>
          <w:lang w:val="ru-RU" w:eastAsia="ru-RU"/>
        </w:rPr>
      </w:pPr>
      <w:hyperlink w:anchor="_Toc473556927" w:history="1">
        <w:r w:rsidR="00B556C8" w:rsidRPr="00DA3485">
          <w:rPr>
            <w:rStyle w:val="Hyperlink"/>
            <w:noProof/>
            <w:lang w:val="ru-RU"/>
          </w:rPr>
          <w:t>Введение</w:t>
        </w:r>
        <w:r w:rsidR="00B556C8">
          <w:rPr>
            <w:noProof/>
            <w:webHidden/>
          </w:rPr>
          <w:tab/>
        </w:r>
        <w:r w:rsidR="00B556C8">
          <w:rPr>
            <w:noProof/>
            <w:webHidden/>
          </w:rPr>
          <w:fldChar w:fldCharType="begin"/>
        </w:r>
        <w:r w:rsidR="00B556C8">
          <w:rPr>
            <w:noProof/>
            <w:webHidden/>
          </w:rPr>
          <w:instrText xml:space="preserve"> PAGEREF _Toc473556927 \h </w:instrText>
        </w:r>
        <w:r w:rsidR="00B556C8">
          <w:rPr>
            <w:noProof/>
            <w:webHidden/>
          </w:rPr>
        </w:r>
        <w:r w:rsidR="00B556C8">
          <w:rPr>
            <w:noProof/>
            <w:webHidden/>
          </w:rPr>
          <w:fldChar w:fldCharType="separate"/>
        </w:r>
        <w:r w:rsidR="00B556C8">
          <w:rPr>
            <w:noProof/>
            <w:webHidden/>
          </w:rPr>
          <w:t>7</w:t>
        </w:r>
        <w:r w:rsidR="00B556C8">
          <w:rPr>
            <w:noProof/>
            <w:webHidden/>
          </w:rPr>
          <w:fldChar w:fldCharType="end"/>
        </w:r>
      </w:hyperlink>
    </w:p>
    <w:p w:rsidR="00B556C8" w:rsidRDefault="00355D8C">
      <w:pPr>
        <w:pStyle w:val="TOC2"/>
        <w:tabs>
          <w:tab w:val="right" w:leader="dot" w:pos="9679"/>
        </w:tabs>
        <w:rPr>
          <w:rFonts w:asciiTheme="minorHAnsi" w:eastAsiaTheme="minorEastAsia" w:hAnsiTheme="minorHAnsi" w:cstheme="minorBidi"/>
          <w:noProof/>
          <w:lang w:val="ru-RU" w:eastAsia="ru-RU"/>
        </w:rPr>
      </w:pPr>
      <w:hyperlink w:anchor="_Toc473556928" w:history="1">
        <w:r w:rsidR="00B556C8" w:rsidRPr="00DA3485">
          <w:rPr>
            <w:rStyle w:val="Hyperlink"/>
            <w:noProof/>
            <w:lang w:val="ru-RU"/>
          </w:rPr>
          <w:t>Основная часть</w:t>
        </w:r>
        <w:r w:rsidR="00B556C8">
          <w:rPr>
            <w:noProof/>
            <w:webHidden/>
          </w:rPr>
          <w:tab/>
        </w:r>
        <w:r w:rsidR="00B556C8">
          <w:rPr>
            <w:noProof/>
            <w:webHidden/>
          </w:rPr>
          <w:fldChar w:fldCharType="begin"/>
        </w:r>
        <w:r w:rsidR="00B556C8">
          <w:rPr>
            <w:noProof/>
            <w:webHidden/>
          </w:rPr>
          <w:instrText xml:space="preserve"> PAGEREF _Toc473556928 \h </w:instrText>
        </w:r>
        <w:r w:rsidR="00B556C8">
          <w:rPr>
            <w:noProof/>
            <w:webHidden/>
          </w:rPr>
        </w:r>
        <w:r w:rsidR="00B556C8">
          <w:rPr>
            <w:noProof/>
            <w:webHidden/>
          </w:rPr>
          <w:fldChar w:fldCharType="separate"/>
        </w:r>
        <w:r w:rsidR="00B556C8">
          <w:rPr>
            <w:noProof/>
            <w:webHidden/>
          </w:rPr>
          <w:t>7</w:t>
        </w:r>
        <w:r w:rsidR="00B556C8">
          <w:rPr>
            <w:noProof/>
            <w:webHidden/>
          </w:rPr>
          <w:fldChar w:fldCharType="end"/>
        </w:r>
      </w:hyperlink>
    </w:p>
    <w:p w:rsidR="00B556C8" w:rsidRDefault="00355D8C">
      <w:pPr>
        <w:pStyle w:val="TOC3"/>
        <w:tabs>
          <w:tab w:val="left" w:pos="880"/>
          <w:tab w:val="right" w:leader="dot" w:pos="9679"/>
        </w:tabs>
        <w:rPr>
          <w:rFonts w:asciiTheme="minorHAnsi" w:eastAsiaTheme="minorEastAsia" w:hAnsiTheme="minorHAnsi" w:cstheme="minorBidi"/>
          <w:noProof/>
          <w:lang w:val="ru-RU" w:eastAsia="ru-RU"/>
        </w:rPr>
      </w:pPr>
      <w:hyperlink w:anchor="_Toc473556929" w:history="1">
        <w:r w:rsidR="00B556C8" w:rsidRPr="00DA3485">
          <w:rPr>
            <w:rStyle w:val="Hyperlink"/>
            <w:noProof/>
            <w:lang w:val="ru-RU"/>
          </w:rPr>
          <w:t>1.</w:t>
        </w:r>
        <w:r w:rsidR="00B556C8">
          <w:rPr>
            <w:rFonts w:asciiTheme="minorHAnsi" w:eastAsiaTheme="minorEastAsia" w:hAnsiTheme="minorHAnsi" w:cstheme="minorBidi"/>
            <w:noProof/>
            <w:lang w:val="ru-RU" w:eastAsia="ru-RU"/>
          </w:rPr>
          <w:tab/>
        </w:r>
        <w:r w:rsidR="00B556C8" w:rsidRPr="00DA3485">
          <w:rPr>
            <w:rStyle w:val="Hyperlink"/>
            <w:noProof/>
            <w:lang w:val="ru-RU"/>
          </w:rPr>
          <w:t>Разработка экспериментально-фармакологического обоснования нового метода лечения моторных нарушений при болезни Паркинсона</w:t>
        </w:r>
        <w:r w:rsidR="00B556C8">
          <w:rPr>
            <w:noProof/>
            <w:webHidden/>
          </w:rPr>
          <w:tab/>
        </w:r>
        <w:r w:rsidR="00B556C8">
          <w:rPr>
            <w:noProof/>
            <w:webHidden/>
          </w:rPr>
          <w:fldChar w:fldCharType="begin"/>
        </w:r>
        <w:r w:rsidR="00B556C8">
          <w:rPr>
            <w:noProof/>
            <w:webHidden/>
          </w:rPr>
          <w:instrText xml:space="preserve"> PAGEREF _Toc473556929 \h </w:instrText>
        </w:r>
        <w:r w:rsidR="00B556C8">
          <w:rPr>
            <w:noProof/>
            <w:webHidden/>
          </w:rPr>
        </w:r>
        <w:r w:rsidR="00B556C8">
          <w:rPr>
            <w:noProof/>
            <w:webHidden/>
          </w:rPr>
          <w:fldChar w:fldCharType="separate"/>
        </w:r>
        <w:r w:rsidR="00B556C8">
          <w:rPr>
            <w:noProof/>
            <w:webHidden/>
          </w:rPr>
          <w:t>7</w:t>
        </w:r>
        <w:r w:rsidR="00B556C8">
          <w:rPr>
            <w:noProof/>
            <w:webHidden/>
          </w:rPr>
          <w:fldChar w:fldCharType="end"/>
        </w:r>
      </w:hyperlink>
    </w:p>
    <w:p w:rsidR="00B556C8" w:rsidRDefault="00355D8C">
      <w:pPr>
        <w:pStyle w:val="TOC3"/>
        <w:tabs>
          <w:tab w:val="left" w:pos="880"/>
          <w:tab w:val="right" w:leader="dot" w:pos="9679"/>
        </w:tabs>
        <w:rPr>
          <w:rFonts w:asciiTheme="minorHAnsi" w:eastAsiaTheme="minorEastAsia" w:hAnsiTheme="minorHAnsi" w:cstheme="minorBidi"/>
          <w:noProof/>
          <w:lang w:val="ru-RU" w:eastAsia="ru-RU"/>
        </w:rPr>
      </w:pPr>
      <w:hyperlink w:anchor="_Toc473556930" w:history="1">
        <w:r w:rsidR="00B556C8" w:rsidRPr="00DA3485">
          <w:rPr>
            <w:rStyle w:val="Hyperlink"/>
            <w:noProof/>
            <w:lang w:val="ru-RU"/>
          </w:rPr>
          <w:t>2.</w:t>
        </w:r>
        <w:r w:rsidR="00B556C8">
          <w:rPr>
            <w:rFonts w:asciiTheme="minorHAnsi" w:eastAsiaTheme="minorEastAsia" w:hAnsiTheme="minorHAnsi" w:cstheme="minorBidi"/>
            <w:noProof/>
            <w:lang w:val="ru-RU" w:eastAsia="ru-RU"/>
          </w:rPr>
          <w:tab/>
        </w:r>
        <w:r w:rsidR="00B556C8" w:rsidRPr="00DA3485">
          <w:rPr>
            <w:rStyle w:val="Hyperlink"/>
            <w:noProof/>
            <w:lang w:val="ru-RU"/>
          </w:rPr>
          <w:t>Исследование действия ряда синтетических и природных соединений на способность повышать устойчивость  производящих инсулин островковых бета-клеток к токсическому действию цитокинов.</w:t>
        </w:r>
        <w:r w:rsidR="00B556C8">
          <w:rPr>
            <w:noProof/>
            <w:webHidden/>
          </w:rPr>
          <w:tab/>
        </w:r>
        <w:r w:rsidR="00B556C8">
          <w:rPr>
            <w:noProof/>
            <w:webHidden/>
          </w:rPr>
          <w:fldChar w:fldCharType="begin"/>
        </w:r>
        <w:r w:rsidR="00B556C8">
          <w:rPr>
            <w:noProof/>
            <w:webHidden/>
          </w:rPr>
          <w:instrText xml:space="preserve"> PAGEREF _Toc473556930 \h </w:instrText>
        </w:r>
        <w:r w:rsidR="00B556C8">
          <w:rPr>
            <w:noProof/>
            <w:webHidden/>
          </w:rPr>
        </w:r>
        <w:r w:rsidR="00B556C8">
          <w:rPr>
            <w:noProof/>
            <w:webHidden/>
          </w:rPr>
          <w:fldChar w:fldCharType="separate"/>
        </w:r>
        <w:r w:rsidR="00B556C8">
          <w:rPr>
            <w:noProof/>
            <w:webHidden/>
          </w:rPr>
          <w:t>10</w:t>
        </w:r>
        <w:r w:rsidR="00B556C8">
          <w:rPr>
            <w:noProof/>
            <w:webHidden/>
          </w:rPr>
          <w:fldChar w:fldCharType="end"/>
        </w:r>
      </w:hyperlink>
    </w:p>
    <w:p w:rsidR="00B556C8" w:rsidRDefault="00355D8C">
      <w:pPr>
        <w:pStyle w:val="TOC3"/>
        <w:tabs>
          <w:tab w:val="left" w:pos="880"/>
          <w:tab w:val="right" w:leader="dot" w:pos="9679"/>
        </w:tabs>
        <w:rPr>
          <w:rFonts w:asciiTheme="minorHAnsi" w:eastAsiaTheme="minorEastAsia" w:hAnsiTheme="minorHAnsi" w:cstheme="minorBidi"/>
          <w:noProof/>
          <w:lang w:val="ru-RU" w:eastAsia="ru-RU"/>
        </w:rPr>
      </w:pPr>
      <w:hyperlink w:anchor="_Toc473556931" w:history="1">
        <w:r w:rsidR="00B556C8" w:rsidRPr="00DA3485">
          <w:rPr>
            <w:rStyle w:val="Hyperlink"/>
            <w:noProof/>
            <w:lang w:val="ru-RU"/>
          </w:rPr>
          <w:t>3.</w:t>
        </w:r>
        <w:r w:rsidR="00B556C8">
          <w:rPr>
            <w:rFonts w:asciiTheme="minorHAnsi" w:eastAsiaTheme="minorEastAsia" w:hAnsiTheme="minorHAnsi" w:cstheme="minorBidi"/>
            <w:noProof/>
            <w:lang w:val="ru-RU" w:eastAsia="ru-RU"/>
          </w:rPr>
          <w:tab/>
        </w:r>
        <w:r w:rsidR="00B556C8" w:rsidRPr="00DA3485">
          <w:rPr>
            <w:rStyle w:val="Hyperlink"/>
            <w:noProof/>
            <w:lang w:val="ru-RU"/>
          </w:rPr>
          <w:t>Изучение коморбидности при хронических дерматозах и разработка алгоритмов фармакотерапии, с учетом полученных результатов</w:t>
        </w:r>
        <w:r w:rsidR="00B556C8">
          <w:rPr>
            <w:noProof/>
            <w:webHidden/>
          </w:rPr>
          <w:tab/>
        </w:r>
        <w:r w:rsidR="00B556C8">
          <w:rPr>
            <w:noProof/>
            <w:webHidden/>
          </w:rPr>
          <w:fldChar w:fldCharType="begin"/>
        </w:r>
        <w:r w:rsidR="00B556C8">
          <w:rPr>
            <w:noProof/>
            <w:webHidden/>
          </w:rPr>
          <w:instrText xml:space="preserve"> PAGEREF _Toc473556931 \h </w:instrText>
        </w:r>
        <w:r w:rsidR="00B556C8">
          <w:rPr>
            <w:noProof/>
            <w:webHidden/>
          </w:rPr>
        </w:r>
        <w:r w:rsidR="00B556C8">
          <w:rPr>
            <w:noProof/>
            <w:webHidden/>
          </w:rPr>
          <w:fldChar w:fldCharType="separate"/>
        </w:r>
        <w:r w:rsidR="00B556C8">
          <w:rPr>
            <w:noProof/>
            <w:webHidden/>
          </w:rPr>
          <w:t>11</w:t>
        </w:r>
        <w:r w:rsidR="00B556C8">
          <w:rPr>
            <w:noProof/>
            <w:webHidden/>
          </w:rPr>
          <w:fldChar w:fldCharType="end"/>
        </w:r>
      </w:hyperlink>
    </w:p>
    <w:p w:rsidR="00B556C8" w:rsidRDefault="00355D8C">
      <w:pPr>
        <w:pStyle w:val="TOC3"/>
        <w:tabs>
          <w:tab w:val="left" w:pos="880"/>
          <w:tab w:val="right" w:leader="dot" w:pos="9679"/>
        </w:tabs>
        <w:rPr>
          <w:rFonts w:asciiTheme="minorHAnsi" w:eastAsiaTheme="minorEastAsia" w:hAnsiTheme="minorHAnsi" w:cstheme="minorBidi"/>
          <w:noProof/>
          <w:lang w:val="ru-RU" w:eastAsia="ru-RU"/>
        </w:rPr>
      </w:pPr>
      <w:hyperlink w:anchor="_Toc473556932" w:history="1">
        <w:r w:rsidR="00B556C8" w:rsidRPr="00DA3485">
          <w:rPr>
            <w:rStyle w:val="Hyperlink"/>
            <w:noProof/>
            <w:lang w:val="ru-RU"/>
          </w:rPr>
          <w:t>4.</w:t>
        </w:r>
        <w:r w:rsidR="00B556C8">
          <w:rPr>
            <w:rFonts w:asciiTheme="minorHAnsi" w:eastAsiaTheme="minorEastAsia" w:hAnsiTheme="minorHAnsi" w:cstheme="minorBidi"/>
            <w:noProof/>
            <w:lang w:val="ru-RU" w:eastAsia="ru-RU"/>
          </w:rPr>
          <w:tab/>
        </w:r>
        <w:r w:rsidR="00B556C8" w:rsidRPr="00DA3485">
          <w:rPr>
            <w:rStyle w:val="Hyperlink"/>
            <w:noProof/>
            <w:lang w:val="ru-RU"/>
          </w:rPr>
          <w:t>Сравнительное исследование связи структуры питания с частотой рака молочной железы</w:t>
        </w:r>
        <w:r w:rsidR="00B556C8">
          <w:rPr>
            <w:noProof/>
            <w:webHidden/>
          </w:rPr>
          <w:tab/>
        </w:r>
        <w:r w:rsidR="00B556C8">
          <w:rPr>
            <w:noProof/>
            <w:webHidden/>
          </w:rPr>
          <w:fldChar w:fldCharType="begin"/>
        </w:r>
        <w:r w:rsidR="00B556C8">
          <w:rPr>
            <w:noProof/>
            <w:webHidden/>
          </w:rPr>
          <w:instrText xml:space="preserve"> PAGEREF _Toc473556932 \h </w:instrText>
        </w:r>
        <w:r w:rsidR="00B556C8">
          <w:rPr>
            <w:noProof/>
            <w:webHidden/>
          </w:rPr>
        </w:r>
        <w:r w:rsidR="00B556C8">
          <w:rPr>
            <w:noProof/>
            <w:webHidden/>
          </w:rPr>
          <w:fldChar w:fldCharType="separate"/>
        </w:r>
        <w:r w:rsidR="00B556C8">
          <w:rPr>
            <w:noProof/>
            <w:webHidden/>
          </w:rPr>
          <w:t>11</w:t>
        </w:r>
        <w:r w:rsidR="00B556C8">
          <w:rPr>
            <w:noProof/>
            <w:webHidden/>
          </w:rPr>
          <w:fldChar w:fldCharType="end"/>
        </w:r>
      </w:hyperlink>
    </w:p>
    <w:p w:rsidR="00B556C8" w:rsidRDefault="00355D8C">
      <w:pPr>
        <w:pStyle w:val="TOC2"/>
        <w:tabs>
          <w:tab w:val="right" w:leader="dot" w:pos="9679"/>
        </w:tabs>
        <w:rPr>
          <w:rFonts w:asciiTheme="minorHAnsi" w:eastAsiaTheme="minorEastAsia" w:hAnsiTheme="minorHAnsi" w:cstheme="minorBidi"/>
          <w:noProof/>
          <w:lang w:val="ru-RU" w:eastAsia="ru-RU"/>
        </w:rPr>
      </w:pPr>
      <w:hyperlink w:anchor="_Toc473556933" w:history="1">
        <w:r w:rsidR="00B556C8" w:rsidRPr="00DA3485">
          <w:rPr>
            <w:rStyle w:val="Hyperlink"/>
            <w:noProof/>
            <w:lang w:val="ru-RU"/>
          </w:rPr>
          <w:t>Выводы</w:t>
        </w:r>
        <w:r w:rsidR="00B556C8">
          <w:rPr>
            <w:noProof/>
            <w:webHidden/>
          </w:rPr>
          <w:tab/>
        </w:r>
        <w:r w:rsidR="00B556C8">
          <w:rPr>
            <w:noProof/>
            <w:webHidden/>
          </w:rPr>
          <w:fldChar w:fldCharType="begin"/>
        </w:r>
        <w:r w:rsidR="00B556C8">
          <w:rPr>
            <w:noProof/>
            <w:webHidden/>
          </w:rPr>
          <w:instrText xml:space="preserve"> PAGEREF _Toc473556933 \h </w:instrText>
        </w:r>
        <w:r w:rsidR="00B556C8">
          <w:rPr>
            <w:noProof/>
            <w:webHidden/>
          </w:rPr>
        </w:r>
        <w:r w:rsidR="00B556C8">
          <w:rPr>
            <w:noProof/>
            <w:webHidden/>
          </w:rPr>
          <w:fldChar w:fldCharType="separate"/>
        </w:r>
        <w:r w:rsidR="00B556C8">
          <w:rPr>
            <w:noProof/>
            <w:webHidden/>
          </w:rPr>
          <w:t>15</w:t>
        </w:r>
        <w:r w:rsidR="00B556C8">
          <w:rPr>
            <w:noProof/>
            <w:webHidden/>
          </w:rPr>
          <w:fldChar w:fldCharType="end"/>
        </w:r>
      </w:hyperlink>
    </w:p>
    <w:p w:rsidR="00B556C8" w:rsidRDefault="00355D8C">
      <w:pPr>
        <w:pStyle w:val="TOC2"/>
        <w:tabs>
          <w:tab w:val="right" w:leader="dot" w:pos="9679"/>
        </w:tabs>
        <w:rPr>
          <w:rFonts w:asciiTheme="minorHAnsi" w:eastAsiaTheme="minorEastAsia" w:hAnsiTheme="minorHAnsi" w:cstheme="minorBidi"/>
          <w:noProof/>
          <w:lang w:val="ru-RU" w:eastAsia="ru-RU"/>
        </w:rPr>
      </w:pPr>
      <w:hyperlink w:anchor="_Toc473556934" w:history="1">
        <w:r w:rsidR="00B556C8" w:rsidRPr="00DA3485">
          <w:rPr>
            <w:rStyle w:val="Hyperlink"/>
            <w:noProof/>
          </w:rPr>
          <w:t>Список использованных источников</w:t>
        </w:r>
        <w:r w:rsidR="00B556C8">
          <w:rPr>
            <w:noProof/>
            <w:webHidden/>
          </w:rPr>
          <w:tab/>
        </w:r>
        <w:r w:rsidR="00B556C8">
          <w:rPr>
            <w:noProof/>
            <w:webHidden/>
          </w:rPr>
          <w:fldChar w:fldCharType="begin"/>
        </w:r>
        <w:r w:rsidR="00B556C8">
          <w:rPr>
            <w:noProof/>
            <w:webHidden/>
          </w:rPr>
          <w:instrText xml:space="preserve"> PAGEREF _Toc473556934 \h </w:instrText>
        </w:r>
        <w:r w:rsidR="00B556C8">
          <w:rPr>
            <w:noProof/>
            <w:webHidden/>
          </w:rPr>
        </w:r>
        <w:r w:rsidR="00B556C8">
          <w:rPr>
            <w:noProof/>
            <w:webHidden/>
          </w:rPr>
          <w:fldChar w:fldCharType="separate"/>
        </w:r>
        <w:r w:rsidR="00B556C8">
          <w:rPr>
            <w:noProof/>
            <w:webHidden/>
          </w:rPr>
          <w:t>16</w:t>
        </w:r>
        <w:r w:rsidR="00B556C8">
          <w:rPr>
            <w:noProof/>
            <w:webHidden/>
          </w:rPr>
          <w:fldChar w:fldCharType="end"/>
        </w:r>
      </w:hyperlink>
    </w:p>
    <w:p w:rsidR="001714A1" w:rsidRPr="001714A1" w:rsidRDefault="001714A1" w:rsidP="001714A1">
      <w:pPr>
        <w:ind w:firstLine="539"/>
        <w:rPr>
          <w:sz w:val="24"/>
          <w:szCs w:val="24"/>
        </w:rPr>
      </w:pPr>
      <w:r w:rsidRPr="0042459A">
        <w:rPr>
          <w:b/>
          <w:bCs/>
          <w:sz w:val="28"/>
        </w:rPr>
        <w:fldChar w:fldCharType="end"/>
      </w:r>
    </w:p>
    <w:p w:rsidR="00ED3DC2" w:rsidRDefault="00ED3DC2" w:rsidP="00673B60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8419EA" w:rsidRPr="008419EA" w:rsidRDefault="008419EA" w:rsidP="008419EA">
      <w:pPr>
        <w:pStyle w:val="Heading2"/>
        <w:pageBreakBefore/>
        <w:spacing w:before="0" w:line="360" w:lineRule="auto"/>
        <w:rPr>
          <w:rFonts w:ascii="Times New Roman" w:hAnsi="Times New Roman"/>
          <w:color w:val="auto"/>
          <w:sz w:val="28"/>
          <w:lang w:val="ru-RU"/>
        </w:rPr>
      </w:pPr>
      <w:bookmarkStart w:id="1" w:name="_Toc437480266"/>
      <w:bookmarkStart w:id="2" w:name="_Toc473556926"/>
      <w:r w:rsidRPr="008419EA">
        <w:rPr>
          <w:rFonts w:ascii="Times New Roman" w:hAnsi="Times New Roman"/>
          <w:color w:val="auto"/>
          <w:sz w:val="28"/>
          <w:lang w:val="ru-RU"/>
        </w:rPr>
        <w:lastRenderedPageBreak/>
        <w:t>Обозначения и сокращения</w:t>
      </w:r>
      <w:bookmarkEnd w:id="1"/>
      <w:bookmarkEnd w:id="2"/>
    </w:p>
    <w:p w:rsidR="00CB7D91" w:rsidRDefault="00CB7D91" w:rsidP="00CB7D91">
      <w:pPr>
        <w:spacing w:line="360" w:lineRule="auto"/>
        <w:rPr>
          <w:sz w:val="24"/>
          <w:lang w:val="ru-RU"/>
        </w:rPr>
      </w:pPr>
      <w:r w:rsidRPr="007336BD">
        <w:rPr>
          <w:sz w:val="24"/>
          <w:lang w:val="ru-RU"/>
        </w:rPr>
        <w:t xml:space="preserve">ВВП </w:t>
      </w:r>
      <w:r>
        <w:rPr>
          <w:sz w:val="24"/>
          <w:lang w:val="ru-RU"/>
        </w:rPr>
        <w:t xml:space="preserve">– </w:t>
      </w:r>
      <w:r w:rsidRPr="007336BD">
        <w:rPr>
          <w:sz w:val="24"/>
          <w:lang w:val="ru-RU"/>
        </w:rPr>
        <w:t>валовой</w:t>
      </w:r>
      <w:r>
        <w:rPr>
          <w:sz w:val="24"/>
          <w:lang w:val="ru-RU"/>
        </w:rPr>
        <w:t xml:space="preserve"> внутренний продукт</w:t>
      </w:r>
    </w:p>
    <w:p w:rsidR="00973FC5" w:rsidRDefault="00973FC5" w:rsidP="00973FC5">
      <w:pPr>
        <w:spacing w:line="360" w:lineRule="auto"/>
        <w:jc w:val="left"/>
        <w:rPr>
          <w:sz w:val="24"/>
          <w:szCs w:val="24"/>
          <w:lang w:val="ru-RU"/>
        </w:rPr>
      </w:pPr>
      <w:r w:rsidRPr="00802D47">
        <w:rPr>
          <w:sz w:val="24"/>
          <w:szCs w:val="24"/>
          <w:lang w:val="ru-RU"/>
        </w:rPr>
        <w:t xml:space="preserve">ГА – гистамин </w:t>
      </w:r>
    </w:p>
    <w:p w:rsidR="00973FC5" w:rsidRDefault="00973FC5" w:rsidP="00973FC5">
      <w:pPr>
        <w:spacing w:line="360" w:lineRule="auto"/>
        <w:jc w:val="left"/>
        <w:rPr>
          <w:sz w:val="24"/>
          <w:szCs w:val="24"/>
          <w:lang w:val="ru-RU"/>
        </w:rPr>
      </w:pPr>
      <w:r w:rsidRPr="00802D47">
        <w:rPr>
          <w:sz w:val="24"/>
          <w:szCs w:val="24"/>
          <w:lang w:val="ru-RU"/>
        </w:rPr>
        <w:t>ДИМ – димедрол</w:t>
      </w:r>
    </w:p>
    <w:p w:rsidR="00CB7D91" w:rsidRDefault="00CB7D91" w:rsidP="00CB7D91">
      <w:pPr>
        <w:spacing w:line="360" w:lineRule="auto"/>
        <w:rPr>
          <w:sz w:val="24"/>
          <w:szCs w:val="24"/>
          <w:lang w:val="ru-RU"/>
        </w:rPr>
      </w:pPr>
      <w:r>
        <w:rPr>
          <w:sz w:val="24"/>
          <w:lang w:val="ru-RU"/>
        </w:rPr>
        <w:t>ИМТ – индекс массы тела</w:t>
      </w:r>
    </w:p>
    <w:p w:rsidR="00CB7D91" w:rsidRDefault="00CB7D91" w:rsidP="00CB7D91">
      <w:pPr>
        <w:spacing w:line="360" w:lineRule="auto"/>
        <w:rPr>
          <w:sz w:val="24"/>
          <w:lang w:val="ru-RU"/>
        </w:rPr>
      </w:pPr>
      <w:r w:rsidRPr="007336BD">
        <w:rPr>
          <w:sz w:val="24"/>
          <w:lang w:val="ru-RU"/>
        </w:rPr>
        <w:t xml:space="preserve">ИРЧП </w:t>
      </w:r>
      <w:r>
        <w:rPr>
          <w:sz w:val="24"/>
          <w:lang w:val="ru-RU"/>
        </w:rPr>
        <w:t>– и</w:t>
      </w:r>
      <w:r w:rsidRPr="007336BD">
        <w:rPr>
          <w:sz w:val="24"/>
          <w:lang w:val="ru-RU"/>
        </w:rPr>
        <w:t>ндекс раз</w:t>
      </w:r>
      <w:r>
        <w:rPr>
          <w:sz w:val="24"/>
          <w:lang w:val="ru-RU"/>
        </w:rPr>
        <w:t xml:space="preserve">вития человеческого потенциала </w:t>
      </w:r>
    </w:p>
    <w:p w:rsidR="00973FC5" w:rsidRDefault="00973FC5" w:rsidP="00973FC5">
      <w:pPr>
        <w:spacing w:line="360" w:lineRule="auto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МП – мадопар</w:t>
      </w:r>
    </w:p>
    <w:p w:rsidR="00B0380B" w:rsidRDefault="00B0380B" w:rsidP="00B0380B">
      <w:pPr>
        <w:spacing w:line="360" w:lineRule="auto"/>
        <w:rPr>
          <w:sz w:val="24"/>
          <w:lang w:val="ru-RU"/>
        </w:rPr>
      </w:pPr>
      <w:r w:rsidRPr="007336BD">
        <w:rPr>
          <w:sz w:val="24"/>
          <w:lang w:val="ru-RU"/>
        </w:rPr>
        <w:t xml:space="preserve">МС </w:t>
      </w:r>
      <w:r>
        <w:rPr>
          <w:sz w:val="24"/>
          <w:lang w:val="ru-RU"/>
        </w:rPr>
        <w:t xml:space="preserve">– метаболический </w:t>
      </w:r>
      <w:r w:rsidRPr="007336BD">
        <w:rPr>
          <w:sz w:val="24"/>
          <w:lang w:val="ru-RU"/>
        </w:rPr>
        <w:t>синдром</w:t>
      </w:r>
    </w:p>
    <w:p w:rsidR="00973FC5" w:rsidRDefault="00973FC5" w:rsidP="00973FC5">
      <w:pPr>
        <w:spacing w:line="360" w:lineRule="auto"/>
        <w:jc w:val="left"/>
        <w:rPr>
          <w:sz w:val="24"/>
          <w:szCs w:val="24"/>
          <w:lang w:val="ru-RU"/>
        </w:rPr>
      </w:pPr>
      <w:r w:rsidRPr="00973FC5">
        <w:rPr>
          <w:sz w:val="24"/>
          <w:szCs w:val="24"/>
          <w:lang w:val="ru-RU"/>
        </w:rPr>
        <w:t xml:space="preserve">НИЗ </w:t>
      </w:r>
      <w:r>
        <w:rPr>
          <w:sz w:val="24"/>
          <w:szCs w:val="24"/>
          <w:lang w:val="ru-RU"/>
        </w:rPr>
        <w:t>– неинфекционные заболевания</w:t>
      </w:r>
    </w:p>
    <w:p w:rsidR="00BA608C" w:rsidRPr="00802D47" w:rsidRDefault="00BA608C" w:rsidP="00973FC5">
      <w:pPr>
        <w:spacing w:line="360" w:lineRule="auto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ОУП – </w:t>
      </w:r>
      <w:r>
        <w:rPr>
          <w:sz w:val="24"/>
          <w:lang w:val="ru-RU"/>
        </w:rPr>
        <w:t>общий</w:t>
      </w:r>
      <w:r w:rsidRPr="007336BD">
        <w:rPr>
          <w:sz w:val="24"/>
          <w:lang w:val="ru-RU"/>
        </w:rPr>
        <w:t xml:space="preserve"> суточн</w:t>
      </w:r>
      <w:r>
        <w:rPr>
          <w:sz w:val="24"/>
          <w:lang w:val="ru-RU"/>
        </w:rPr>
        <w:t>ый</w:t>
      </w:r>
      <w:r w:rsidRPr="007336BD">
        <w:rPr>
          <w:sz w:val="24"/>
          <w:lang w:val="ru-RU"/>
        </w:rPr>
        <w:t xml:space="preserve"> уров</w:t>
      </w:r>
      <w:r>
        <w:rPr>
          <w:sz w:val="24"/>
          <w:lang w:val="ru-RU"/>
        </w:rPr>
        <w:t>ень</w:t>
      </w:r>
      <w:r w:rsidRPr="007336BD">
        <w:rPr>
          <w:sz w:val="24"/>
          <w:lang w:val="ru-RU"/>
        </w:rPr>
        <w:t xml:space="preserve"> потребления</w:t>
      </w:r>
    </w:p>
    <w:p w:rsidR="00CD2EC9" w:rsidRPr="00431736" w:rsidRDefault="00CD2EC9" w:rsidP="00CD2EC9">
      <w:pPr>
        <w:spacing w:line="360" w:lineRule="auto"/>
        <w:rPr>
          <w:sz w:val="24"/>
          <w:szCs w:val="24"/>
          <w:lang w:val="ru-RU"/>
        </w:rPr>
      </w:pPr>
      <w:r w:rsidRPr="00431736">
        <w:rPr>
          <w:sz w:val="24"/>
          <w:szCs w:val="24"/>
          <w:lang w:val="ru-RU"/>
        </w:rPr>
        <w:t>РМЖ – рак молочной железы</w:t>
      </w:r>
    </w:p>
    <w:p w:rsidR="00CD2EC9" w:rsidRDefault="00CD2EC9" w:rsidP="00CD2EC9">
      <w:pPr>
        <w:spacing w:line="360" w:lineRule="auto"/>
        <w:rPr>
          <w:sz w:val="24"/>
          <w:szCs w:val="24"/>
          <w:lang w:val="ru-RU"/>
        </w:rPr>
      </w:pPr>
      <w:r w:rsidRPr="00431736">
        <w:rPr>
          <w:sz w:val="24"/>
          <w:szCs w:val="24"/>
          <w:lang w:val="ru-RU"/>
        </w:rPr>
        <w:t>СП – структура питания</w:t>
      </w:r>
    </w:p>
    <w:p w:rsidR="00973FC5" w:rsidRPr="00431736" w:rsidRDefault="00B0380B" w:rsidP="00CD2EC9">
      <w:pPr>
        <w:spacing w:line="360" w:lineRule="auto"/>
        <w:rPr>
          <w:sz w:val="24"/>
          <w:szCs w:val="24"/>
          <w:lang w:val="ru-RU"/>
        </w:rPr>
      </w:pPr>
      <w:r w:rsidRPr="007336BD">
        <w:rPr>
          <w:sz w:val="24"/>
          <w:lang w:val="ru-RU"/>
        </w:rPr>
        <w:t xml:space="preserve">УХл </w:t>
      </w:r>
      <w:r>
        <w:rPr>
          <w:sz w:val="24"/>
          <w:lang w:val="ru-RU"/>
        </w:rPr>
        <w:t>– уровень холестерина крови</w:t>
      </w:r>
    </w:p>
    <w:p w:rsidR="00ED3DC2" w:rsidRPr="0099772B" w:rsidRDefault="00ED3DC2" w:rsidP="008419EA">
      <w:pPr>
        <w:pStyle w:val="Heading2"/>
        <w:pageBreakBefore/>
        <w:spacing w:before="0" w:line="360" w:lineRule="auto"/>
        <w:rPr>
          <w:rFonts w:ascii="Times New Roman" w:hAnsi="Times New Roman"/>
          <w:color w:val="auto"/>
          <w:sz w:val="28"/>
          <w:lang w:val="ru-RU"/>
        </w:rPr>
      </w:pPr>
      <w:bookmarkStart w:id="3" w:name="_Toc473556927"/>
      <w:r w:rsidRPr="0099772B">
        <w:rPr>
          <w:rFonts w:ascii="Times New Roman" w:hAnsi="Times New Roman"/>
          <w:color w:val="auto"/>
          <w:sz w:val="28"/>
          <w:lang w:val="ru-RU"/>
        </w:rPr>
        <w:lastRenderedPageBreak/>
        <w:t>Введение</w:t>
      </w:r>
      <w:bookmarkEnd w:id="3"/>
    </w:p>
    <w:p w:rsidR="00802D47" w:rsidRPr="00802D47" w:rsidRDefault="00802D47" w:rsidP="00802D47">
      <w:pPr>
        <w:spacing w:line="360" w:lineRule="auto"/>
        <w:ind w:firstLine="708"/>
        <w:rPr>
          <w:sz w:val="24"/>
          <w:szCs w:val="24"/>
          <w:lang w:val="ru-RU"/>
        </w:rPr>
      </w:pPr>
      <w:r w:rsidRPr="00802D47">
        <w:rPr>
          <w:sz w:val="24"/>
          <w:szCs w:val="24"/>
          <w:lang w:val="ru-RU"/>
        </w:rPr>
        <w:t>Болезнь Паркинсона является одной из наиболее распространенных неврологических патологий и поражает в первую очередь лиц пожилого возраста. Болезнь обусловлена дегенерацией дофаминергических нейронов мозга, причина которой не известна. Существующий метод лечения связан с активацией дофаминергической иннервации за счет введения в организм предшественника дофамина –леводопы. Лечебный эффект ловодопа-содержащих препаратов на паркинсонические симптомы, в первую очередь на брадикинезию и ригидность, весьма умеренный (</w:t>
      </w:r>
      <w:r w:rsidR="00206039" w:rsidRPr="00206039">
        <w:rPr>
          <w:sz w:val="24"/>
          <w:szCs w:val="24"/>
          <w:lang w:val="ru-RU"/>
        </w:rPr>
        <w:t>1</w:t>
      </w:r>
      <w:r w:rsidRPr="00802D47">
        <w:rPr>
          <w:sz w:val="24"/>
          <w:szCs w:val="24"/>
          <w:lang w:val="ru-RU"/>
        </w:rPr>
        <w:t>).</w:t>
      </w:r>
    </w:p>
    <w:p w:rsidR="00802D47" w:rsidRDefault="00802D47" w:rsidP="00802D47">
      <w:pPr>
        <w:spacing w:line="360" w:lineRule="auto"/>
        <w:ind w:firstLine="708"/>
        <w:rPr>
          <w:sz w:val="24"/>
          <w:szCs w:val="24"/>
          <w:lang w:val="ru-RU"/>
        </w:rPr>
      </w:pPr>
      <w:r w:rsidRPr="00802D47">
        <w:rPr>
          <w:sz w:val="24"/>
          <w:szCs w:val="24"/>
          <w:lang w:val="ru-RU"/>
        </w:rPr>
        <w:t>Патогенез развития моторных расстройств при болезни Паркинсона неясен. Обращает на себя внимание, что в ткани мозга больных отмечается повышение уровня гистамина (Rinne и соавт</w:t>
      </w:r>
      <w:r w:rsidRPr="007336BD">
        <w:rPr>
          <w:sz w:val="24"/>
          <w:szCs w:val="24"/>
          <w:lang w:val="ru-RU"/>
        </w:rPr>
        <w:t>., 2002) и снижение уровня соматостатина (</w:t>
      </w:r>
      <w:r w:rsidR="00206039" w:rsidRPr="00206039">
        <w:rPr>
          <w:sz w:val="24"/>
          <w:szCs w:val="24"/>
          <w:lang w:val="ru-RU"/>
        </w:rPr>
        <w:t>2-6</w:t>
      </w:r>
      <w:r w:rsidRPr="007336BD">
        <w:rPr>
          <w:sz w:val="24"/>
          <w:szCs w:val="24"/>
          <w:lang w:val="ru-RU"/>
        </w:rPr>
        <w:t>). Патогенная роль этого нейротрансмиттерного дисбаланса в развитии паркинсонических  симптомов не установлена.</w:t>
      </w:r>
    </w:p>
    <w:p w:rsidR="00BA608C" w:rsidRPr="007336BD" w:rsidRDefault="00BA608C" w:rsidP="00802D47">
      <w:pPr>
        <w:spacing w:line="360" w:lineRule="auto"/>
        <w:ind w:firstLine="708"/>
        <w:rPr>
          <w:sz w:val="24"/>
          <w:szCs w:val="24"/>
          <w:lang w:val="ru-RU"/>
        </w:rPr>
      </w:pPr>
      <w:r w:rsidRPr="00B95396">
        <w:rPr>
          <w:sz w:val="24"/>
          <w:lang w:val="ru-RU"/>
        </w:rPr>
        <w:t xml:space="preserve">Бремя хронических неинфекционных заболеваний (НИЗ) в мире растет. Ожидается, что к 2020 г. доля НИЗ увеличится до 67% </w:t>
      </w:r>
      <w:r w:rsidR="00206039" w:rsidRPr="00EF052E">
        <w:rPr>
          <w:sz w:val="24"/>
          <w:lang w:val="ru-RU"/>
        </w:rPr>
        <w:t>(7)</w:t>
      </w:r>
      <w:r w:rsidRPr="00B95396">
        <w:rPr>
          <w:sz w:val="24"/>
          <w:lang w:val="ru-RU"/>
        </w:rPr>
        <w:t>. В пяти из шести регионов по оценке ВОЗ число смертей</w:t>
      </w:r>
      <w:r w:rsidRPr="007336BD">
        <w:rPr>
          <w:sz w:val="24"/>
          <w:lang w:val="ru-RU"/>
        </w:rPr>
        <w:t xml:space="preserve">, вызванных НИЗ, доминируют в статистике смертности. Основными причинами НИЗ считаются нерациональное питание, ожирение, неумеренное употребление алкоголя, курение и низкая физическая активность </w:t>
      </w:r>
      <w:r w:rsidR="00206039" w:rsidRPr="00206039">
        <w:rPr>
          <w:sz w:val="24"/>
          <w:lang w:val="ru-RU"/>
        </w:rPr>
        <w:t>(</w:t>
      </w:r>
      <w:r w:rsidR="00206039">
        <w:rPr>
          <w:sz w:val="24"/>
          <w:lang w:val="ru-RU"/>
        </w:rPr>
        <w:t>7,8</w:t>
      </w:r>
      <w:r w:rsidR="00206039" w:rsidRPr="00206039">
        <w:rPr>
          <w:sz w:val="24"/>
          <w:lang w:val="ru-RU"/>
        </w:rPr>
        <w:t>)</w:t>
      </w:r>
      <w:r w:rsidRPr="007336BD">
        <w:rPr>
          <w:sz w:val="24"/>
          <w:lang w:val="ru-RU"/>
        </w:rPr>
        <w:t>. Однако эпидемиологические данные о связи между диетой и риском развития НИЗ, в том числе рака молочной железы (РМЖ), противоречивы</w:t>
      </w:r>
      <w:r w:rsidR="00206039">
        <w:rPr>
          <w:sz w:val="24"/>
          <w:lang w:val="ru-RU"/>
        </w:rPr>
        <w:t xml:space="preserve"> (8)</w:t>
      </w:r>
      <w:r w:rsidRPr="007336BD">
        <w:rPr>
          <w:sz w:val="24"/>
          <w:lang w:val="ru-RU"/>
        </w:rPr>
        <w:t xml:space="preserve">. Например, показано </w:t>
      </w:r>
      <w:r w:rsidR="00206039">
        <w:rPr>
          <w:sz w:val="24"/>
          <w:lang w:val="ru-RU"/>
        </w:rPr>
        <w:t>(9)</w:t>
      </w:r>
      <w:r w:rsidRPr="007336BD">
        <w:rPr>
          <w:sz w:val="24"/>
          <w:lang w:val="ru-RU"/>
        </w:rPr>
        <w:t xml:space="preserve">, что алкоголь повышает риск РМЖ, но большинство исследований </w:t>
      </w:r>
      <w:r w:rsidR="00206039">
        <w:rPr>
          <w:sz w:val="24"/>
          <w:lang w:val="ru-RU"/>
        </w:rPr>
        <w:t>(10)</w:t>
      </w:r>
      <w:r w:rsidRPr="007336BD">
        <w:rPr>
          <w:sz w:val="24"/>
          <w:lang w:val="ru-RU"/>
        </w:rPr>
        <w:t xml:space="preserve"> сосредоточено на роли отдельных пищевых продуктов. Считают </w:t>
      </w:r>
      <w:r w:rsidR="00206039">
        <w:rPr>
          <w:sz w:val="24"/>
          <w:lang w:val="ru-RU"/>
        </w:rPr>
        <w:t>(8)</w:t>
      </w:r>
      <w:r w:rsidRPr="007336BD">
        <w:rPr>
          <w:sz w:val="24"/>
          <w:lang w:val="ru-RU"/>
        </w:rPr>
        <w:t>, что наибольшее значение имеет взаимодействие продуктов, которое может быть</w:t>
      </w:r>
      <w:r w:rsidR="00136017">
        <w:rPr>
          <w:sz w:val="24"/>
          <w:lang w:val="ru-RU"/>
        </w:rPr>
        <w:t xml:space="preserve"> выявлено только статистически.</w:t>
      </w:r>
    </w:p>
    <w:p w:rsidR="009E4076" w:rsidRPr="007336BD" w:rsidRDefault="009E4076" w:rsidP="0099772B">
      <w:pPr>
        <w:pStyle w:val="Heading2"/>
        <w:spacing w:before="0" w:line="360" w:lineRule="auto"/>
        <w:rPr>
          <w:rFonts w:ascii="Times New Roman" w:hAnsi="Times New Roman"/>
          <w:color w:val="auto"/>
          <w:sz w:val="28"/>
          <w:lang w:val="ru-RU"/>
        </w:rPr>
      </w:pPr>
    </w:p>
    <w:p w:rsidR="00ED3DC2" w:rsidRPr="007336BD" w:rsidRDefault="00ED3DC2" w:rsidP="0099772B">
      <w:pPr>
        <w:pStyle w:val="Heading2"/>
        <w:spacing w:before="0" w:line="360" w:lineRule="auto"/>
        <w:rPr>
          <w:rFonts w:ascii="Times New Roman" w:hAnsi="Times New Roman"/>
          <w:color w:val="auto"/>
          <w:sz w:val="28"/>
          <w:lang w:val="ru-RU"/>
        </w:rPr>
      </w:pPr>
      <w:bookmarkStart w:id="4" w:name="_Toc473556928"/>
      <w:r w:rsidRPr="007336BD">
        <w:rPr>
          <w:rFonts w:ascii="Times New Roman" w:hAnsi="Times New Roman"/>
          <w:color w:val="auto"/>
          <w:sz w:val="28"/>
          <w:lang w:val="ru-RU"/>
        </w:rPr>
        <w:t>Основная часть</w:t>
      </w:r>
      <w:bookmarkEnd w:id="4"/>
    </w:p>
    <w:p w:rsidR="00ED3DC2" w:rsidRPr="007336BD" w:rsidRDefault="00802D47" w:rsidP="00802D47">
      <w:pPr>
        <w:pStyle w:val="Heading3"/>
        <w:numPr>
          <w:ilvl w:val="0"/>
          <w:numId w:val="1"/>
        </w:numPr>
        <w:spacing w:before="0" w:line="360" w:lineRule="auto"/>
        <w:rPr>
          <w:rFonts w:ascii="Times New Roman" w:hAnsi="Times New Roman"/>
          <w:color w:val="auto"/>
          <w:sz w:val="24"/>
          <w:szCs w:val="28"/>
          <w:lang w:val="ru-RU"/>
        </w:rPr>
      </w:pPr>
      <w:bookmarkStart w:id="5" w:name="_Toc473556929"/>
      <w:r w:rsidRPr="007336BD">
        <w:rPr>
          <w:rFonts w:ascii="Times New Roman" w:hAnsi="Times New Roman"/>
          <w:color w:val="auto"/>
          <w:sz w:val="24"/>
          <w:szCs w:val="28"/>
          <w:lang w:val="ru-RU"/>
        </w:rPr>
        <w:t>Разработка экспериментально-фармакологического обоснования нового метода лечения моторных нарушений при болезни Паркинсона</w:t>
      </w:r>
      <w:bookmarkEnd w:id="5"/>
    </w:p>
    <w:p w:rsidR="00802D47" w:rsidRPr="00802D47" w:rsidRDefault="00802D47" w:rsidP="00802D47">
      <w:pPr>
        <w:autoSpaceDE w:val="0"/>
        <w:autoSpaceDN w:val="0"/>
        <w:adjustRightInd w:val="0"/>
        <w:spacing w:line="360" w:lineRule="auto"/>
        <w:ind w:firstLine="709"/>
        <w:rPr>
          <w:iCs/>
          <w:sz w:val="24"/>
          <w:szCs w:val="28"/>
          <w:lang w:val="ru-RU"/>
        </w:rPr>
      </w:pPr>
      <w:r w:rsidRPr="007336BD">
        <w:rPr>
          <w:iCs/>
          <w:sz w:val="24"/>
          <w:szCs w:val="28"/>
          <w:lang w:val="ru-RU"/>
        </w:rPr>
        <w:t>В описанных ниже экспериментах повышенный уровень гистамина в мозгу животных создавали внутримозговым введением этого вещества, дефицит соматостатина моделировали введением в мозг</w:t>
      </w:r>
      <w:r w:rsidRPr="00802D47">
        <w:rPr>
          <w:iCs/>
          <w:sz w:val="24"/>
          <w:szCs w:val="28"/>
          <w:lang w:val="ru-RU"/>
        </w:rPr>
        <w:t xml:space="preserve"> анагониста соматостатиновых рецепторов циклосоматостатина (</w:t>
      </w:r>
      <w:r w:rsidR="00206039">
        <w:rPr>
          <w:iCs/>
          <w:sz w:val="24"/>
          <w:szCs w:val="28"/>
          <w:lang w:val="ru-RU"/>
        </w:rPr>
        <w:t>11</w:t>
      </w:r>
      <w:r w:rsidRPr="00802D47">
        <w:rPr>
          <w:iCs/>
          <w:sz w:val="24"/>
          <w:szCs w:val="28"/>
          <w:lang w:val="ru-RU"/>
        </w:rPr>
        <w:t xml:space="preserve">). </w:t>
      </w:r>
    </w:p>
    <w:p w:rsidR="00802D47" w:rsidRPr="00802D47" w:rsidRDefault="00802D47" w:rsidP="00802D47">
      <w:pPr>
        <w:autoSpaceDE w:val="0"/>
        <w:autoSpaceDN w:val="0"/>
        <w:adjustRightInd w:val="0"/>
        <w:spacing w:line="360" w:lineRule="auto"/>
        <w:ind w:firstLine="709"/>
        <w:rPr>
          <w:iCs/>
          <w:sz w:val="24"/>
          <w:szCs w:val="28"/>
          <w:lang w:val="ru-RU"/>
        </w:rPr>
      </w:pPr>
      <w:r w:rsidRPr="00802D47">
        <w:rPr>
          <w:iCs/>
          <w:sz w:val="24"/>
          <w:szCs w:val="28"/>
          <w:lang w:val="ru-RU"/>
        </w:rPr>
        <w:t xml:space="preserve">Экспериментальная терапия экстрапирамидных расстройств, вызванных  гистамин-соматостатиновым дисбалансом, осуществлялась сочетанным введением двух препаратов: блокатора гистаминовых рецепторов димедрола, призванного снизить действие избыточного </w:t>
      </w:r>
      <w:r w:rsidRPr="00802D47">
        <w:rPr>
          <w:iCs/>
          <w:sz w:val="24"/>
          <w:szCs w:val="28"/>
          <w:lang w:val="ru-RU"/>
        </w:rPr>
        <w:lastRenderedPageBreak/>
        <w:t>содержания гистамина в ткани мозга, и  никотина, который стимулирует накопление соматостатина в ткани мозга (</w:t>
      </w:r>
      <w:r w:rsidR="00206039">
        <w:rPr>
          <w:iCs/>
          <w:sz w:val="24"/>
          <w:szCs w:val="28"/>
          <w:lang w:val="ru-RU"/>
        </w:rPr>
        <w:t>12</w:t>
      </w:r>
      <w:r w:rsidRPr="00802D47">
        <w:rPr>
          <w:iCs/>
          <w:sz w:val="24"/>
          <w:szCs w:val="28"/>
          <w:lang w:val="ru-RU"/>
        </w:rPr>
        <w:t>).</w:t>
      </w:r>
    </w:p>
    <w:p w:rsidR="00802D47" w:rsidRDefault="00802D47" w:rsidP="00802D47">
      <w:pPr>
        <w:autoSpaceDE w:val="0"/>
        <w:autoSpaceDN w:val="0"/>
        <w:adjustRightInd w:val="0"/>
        <w:spacing w:line="360" w:lineRule="auto"/>
        <w:ind w:firstLine="709"/>
        <w:rPr>
          <w:iCs/>
          <w:sz w:val="24"/>
          <w:szCs w:val="28"/>
          <w:lang w:val="ru-RU"/>
        </w:rPr>
      </w:pPr>
      <w:r w:rsidRPr="00802D47">
        <w:rPr>
          <w:iCs/>
          <w:sz w:val="24"/>
          <w:szCs w:val="28"/>
          <w:lang w:val="ru-RU"/>
        </w:rPr>
        <w:t xml:space="preserve">Предлагаемый способ экспериментальной терапии сравнивали по эффективности с широко применяемым в настоящее время для лечения паркинсонических расстройств леводопа-содержащим препаратом Мадопар. </w:t>
      </w:r>
    </w:p>
    <w:p w:rsidR="00802D47" w:rsidRPr="00802D47" w:rsidRDefault="00802D47" w:rsidP="00802D47">
      <w:pPr>
        <w:autoSpaceDE w:val="0"/>
        <w:autoSpaceDN w:val="0"/>
        <w:adjustRightInd w:val="0"/>
        <w:spacing w:line="360" w:lineRule="auto"/>
        <w:ind w:firstLine="709"/>
        <w:rPr>
          <w:iCs/>
          <w:sz w:val="24"/>
          <w:szCs w:val="28"/>
          <w:lang w:val="ru-RU"/>
        </w:rPr>
      </w:pPr>
    </w:p>
    <w:p w:rsidR="00802D47" w:rsidRDefault="00802D47" w:rsidP="00802D47">
      <w:pPr>
        <w:autoSpaceDE w:val="0"/>
        <w:autoSpaceDN w:val="0"/>
        <w:adjustRightInd w:val="0"/>
        <w:spacing w:line="360" w:lineRule="auto"/>
        <w:ind w:firstLine="709"/>
        <w:rPr>
          <w:iCs/>
          <w:sz w:val="24"/>
          <w:szCs w:val="28"/>
          <w:lang w:val="ru-RU"/>
        </w:rPr>
      </w:pPr>
      <w:r w:rsidRPr="00802D47">
        <w:rPr>
          <w:iCs/>
          <w:sz w:val="24"/>
          <w:szCs w:val="28"/>
          <w:lang w:val="ru-RU"/>
        </w:rPr>
        <w:t>Поскольку болезнь Паркинсона является возрастозависимой патологией, работу по разработке экспериментальной терапии экстрапирамидных расстройств проводили на старых животных.</w:t>
      </w:r>
    </w:p>
    <w:p w:rsidR="00802D47" w:rsidRDefault="00802D47" w:rsidP="00802D47">
      <w:pPr>
        <w:autoSpaceDE w:val="0"/>
        <w:autoSpaceDN w:val="0"/>
        <w:adjustRightInd w:val="0"/>
        <w:spacing w:line="360" w:lineRule="auto"/>
        <w:ind w:firstLine="709"/>
        <w:rPr>
          <w:iCs/>
          <w:sz w:val="24"/>
          <w:szCs w:val="28"/>
          <w:lang w:val="ru-RU"/>
        </w:rPr>
      </w:pPr>
      <w:r w:rsidRPr="00802D47">
        <w:rPr>
          <w:iCs/>
          <w:sz w:val="24"/>
          <w:szCs w:val="28"/>
          <w:lang w:val="ru-RU"/>
        </w:rPr>
        <w:t>Эксперименты проведены на</w:t>
      </w:r>
      <w:r w:rsidR="009C243B">
        <w:rPr>
          <w:iCs/>
          <w:sz w:val="24"/>
          <w:szCs w:val="28"/>
          <w:lang w:val="ru-RU"/>
        </w:rPr>
        <w:t>: 1)</w:t>
      </w:r>
      <w:r w:rsidRPr="00802D47">
        <w:rPr>
          <w:iCs/>
          <w:sz w:val="24"/>
          <w:szCs w:val="28"/>
          <w:lang w:val="ru-RU"/>
        </w:rPr>
        <w:t xml:space="preserve"> мышах-самцах BALB/c возраста 22–23 мес.</w:t>
      </w:r>
      <w:r w:rsidR="009C243B">
        <w:rPr>
          <w:iCs/>
          <w:sz w:val="24"/>
          <w:szCs w:val="28"/>
          <w:lang w:val="ru-RU"/>
        </w:rPr>
        <w:t xml:space="preserve"> (п</w:t>
      </w:r>
      <w:r w:rsidRPr="00802D47">
        <w:rPr>
          <w:iCs/>
          <w:sz w:val="24"/>
          <w:szCs w:val="28"/>
          <w:lang w:val="ru-RU"/>
        </w:rPr>
        <w:t>оскольку среднее время жизни мышей этой линии составляет 26 месяцев  (Morley, Trainor; 2001), указанных экспериментальных животных можно было охарактеризовать как старых</w:t>
      </w:r>
      <w:r w:rsidR="009C243B">
        <w:rPr>
          <w:iCs/>
          <w:sz w:val="24"/>
          <w:szCs w:val="28"/>
          <w:lang w:val="ru-RU"/>
        </w:rPr>
        <w:t xml:space="preserve">) и 2) </w:t>
      </w:r>
      <w:r w:rsidR="009C243B" w:rsidRPr="009C243B">
        <w:rPr>
          <w:iCs/>
          <w:sz w:val="24"/>
          <w:szCs w:val="28"/>
          <w:lang w:val="ru-RU"/>
        </w:rPr>
        <w:t>крысах-самцах</w:t>
      </w:r>
      <w:r w:rsidR="009C243B">
        <w:rPr>
          <w:iCs/>
          <w:sz w:val="24"/>
          <w:szCs w:val="28"/>
          <w:lang w:val="ru-RU"/>
        </w:rPr>
        <w:t xml:space="preserve"> Вистар  возраста 742-769 дней (п</w:t>
      </w:r>
      <w:r w:rsidR="009C243B" w:rsidRPr="009C243B">
        <w:rPr>
          <w:iCs/>
          <w:sz w:val="24"/>
          <w:szCs w:val="28"/>
          <w:lang w:val="ru-RU"/>
        </w:rPr>
        <w:t>оскольку средняя продолжительность жизни крыс Вистар составляет 750 дней (</w:t>
      </w:r>
      <w:r w:rsidR="00206039">
        <w:rPr>
          <w:iCs/>
          <w:sz w:val="24"/>
          <w:szCs w:val="28"/>
          <w:lang w:val="ru-RU"/>
        </w:rPr>
        <w:t>13</w:t>
      </w:r>
      <w:r w:rsidR="009C243B" w:rsidRPr="009C243B">
        <w:rPr>
          <w:iCs/>
          <w:sz w:val="24"/>
          <w:szCs w:val="28"/>
          <w:lang w:val="ru-RU"/>
        </w:rPr>
        <w:t>), использованные животные   были охарактеризованы как старые</w:t>
      </w:r>
      <w:r w:rsidR="009C243B">
        <w:rPr>
          <w:iCs/>
          <w:sz w:val="24"/>
          <w:szCs w:val="28"/>
          <w:lang w:val="ru-RU"/>
        </w:rPr>
        <w:t>)</w:t>
      </w:r>
      <w:r w:rsidR="009C243B" w:rsidRPr="009C243B">
        <w:rPr>
          <w:iCs/>
          <w:sz w:val="24"/>
          <w:szCs w:val="28"/>
          <w:lang w:val="ru-RU"/>
        </w:rPr>
        <w:t>.</w:t>
      </w:r>
    </w:p>
    <w:p w:rsidR="00802D47" w:rsidRDefault="00802D47" w:rsidP="00802D47">
      <w:pPr>
        <w:autoSpaceDE w:val="0"/>
        <w:autoSpaceDN w:val="0"/>
        <w:adjustRightInd w:val="0"/>
        <w:spacing w:line="360" w:lineRule="auto"/>
        <w:ind w:firstLine="709"/>
        <w:rPr>
          <w:iCs/>
          <w:sz w:val="24"/>
          <w:szCs w:val="28"/>
          <w:lang w:val="ru-RU"/>
        </w:rPr>
      </w:pPr>
      <w:r w:rsidRPr="00802D47">
        <w:rPr>
          <w:iCs/>
          <w:sz w:val="24"/>
          <w:szCs w:val="28"/>
          <w:lang w:val="ru-RU"/>
        </w:rPr>
        <w:t>Результаты экспериментов на мышах  пре</w:t>
      </w:r>
      <w:r w:rsidR="00973FC5">
        <w:rPr>
          <w:iCs/>
          <w:sz w:val="24"/>
          <w:szCs w:val="28"/>
          <w:lang w:val="ru-RU"/>
        </w:rPr>
        <w:t xml:space="preserve">дставлены в </w:t>
      </w:r>
      <w:r w:rsidRPr="00802D47">
        <w:rPr>
          <w:iCs/>
          <w:sz w:val="24"/>
          <w:szCs w:val="28"/>
          <w:lang w:val="ru-RU"/>
        </w:rPr>
        <w:t>Табл.1. Установлено, что галоперидол в дозе 0,06 мг/кг не вызывает заметной каталепсии. Гистамин и циклосоматостатин не влияют на эффект подпороговой дозы галоперидола. Однако сочетанное воздействие гистамина и ингибитора соматостатиновых рецепторов, которое имитирует гистамин-соматостатиновый дисбаланс у больных болезнью Паркинсона, вызывает выраженную каталепсию. Каталептогенный эффект комбинации гистамина и циклосоматостатина незначительно ингибируется препаратом мадопар, однако полностью устраняется комбинацией димедрола и никотина.</w:t>
      </w:r>
    </w:p>
    <w:p w:rsidR="00AC033A" w:rsidRDefault="00AC033A" w:rsidP="00AC033A">
      <w:pPr>
        <w:spacing w:line="360" w:lineRule="auto"/>
        <w:ind w:firstLine="709"/>
        <w:rPr>
          <w:sz w:val="24"/>
          <w:lang w:val="ru-RU"/>
        </w:rPr>
      </w:pPr>
      <w:r w:rsidRPr="00AB4360">
        <w:rPr>
          <w:sz w:val="24"/>
          <w:lang w:val="ru-RU"/>
        </w:rPr>
        <w:t>Результаты экспериментов на крысах  представлены в Табл.2. Установлено, что галоперидол в дозе 0,25 мг/кг не вызывает заметной каталепсии. Гистамин и циклосоматостатин не влияют на эффект подпороговой дозы галоперидола. Однако сочетанное воздействие гистамина и ингибитора соматостатиновых рецепторов, которое имитирует гистамин-соматостатиновый дисбаланс у больных болезнью Паркинсона, вызывает выраженную каталепсию. Каталептогенный эффект комбинации гистамина и циклосоматостатина незначительно ингибируется препаратом мадопар, однако полностью устраняется комбинацией димедрола и никотина.</w:t>
      </w:r>
    </w:p>
    <w:p w:rsidR="00802D47" w:rsidRDefault="00802D47" w:rsidP="00802D47">
      <w:pPr>
        <w:autoSpaceDE w:val="0"/>
        <w:autoSpaceDN w:val="0"/>
        <w:adjustRightInd w:val="0"/>
        <w:rPr>
          <w:sz w:val="24"/>
          <w:szCs w:val="24"/>
          <w:lang w:val="ru-RU"/>
        </w:rPr>
      </w:pPr>
    </w:p>
    <w:p w:rsidR="00802D47" w:rsidRPr="00802D47" w:rsidRDefault="00802D47" w:rsidP="00AC033A">
      <w:pPr>
        <w:autoSpaceDE w:val="0"/>
        <w:autoSpaceDN w:val="0"/>
        <w:adjustRightInd w:val="0"/>
        <w:spacing w:line="360" w:lineRule="auto"/>
        <w:rPr>
          <w:sz w:val="24"/>
          <w:szCs w:val="24"/>
          <w:lang w:val="ru-RU"/>
        </w:rPr>
      </w:pPr>
      <w:r w:rsidRPr="00802D47">
        <w:rPr>
          <w:sz w:val="24"/>
          <w:szCs w:val="24"/>
          <w:lang w:val="ru-RU"/>
        </w:rPr>
        <w:lastRenderedPageBreak/>
        <w:t xml:space="preserve">Таблица 1. Влияние препаратов на каталептогенный эффект галоперидола в дозе 0.06  </w:t>
      </w:r>
      <w:r w:rsidRPr="00802D47">
        <w:rPr>
          <w:sz w:val="24"/>
          <w:szCs w:val="24"/>
        </w:rPr>
        <w:t>mg</w:t>
      </w:r>
      <w:r w:rsidRPr="00802D47">
        <w:rPr>
          <w:sz w:val="24"/>
          <w:szCs w:val="24"/>
          <w:lang w:val="ru-RU"/>
        </w:rPr>
        <w:t>/</w:t>
      </w:r>
      <w:r w:rsidRPr="00802D47">
        <w:rPr>
          <w:sz w:val="24"/>
          <w:szCs w:val="24"/>
        </w:rPr>
        <w:t>kg</w:t>
      </w:r>
      <w:r w:rsidRPr="00802D47">
        <w:rPr>
          <w:sz w:val="24"/>
          <w:szCs w:val="24"/>
          <w:lang w:val="ru-RU"/>
        </w:rPr>
        <w:t xml:space="preserve">  у мышей</w:t>
      </w:r>
    </w:p>
    <w:tbl>
      <w:tblPr>
        <w:tblW w:w="965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1800"/>
        <w:gridCol w:w="1800"/>
        <w:gridCol w:w="1800"/>
      </w:tblGrid>
      <w:tr w:rsidR="00802D47" w:rsidRPr="00355D8C" w:rsidTr="00802D47">
        <w:trPr>
          <w:cantSplit/>
          <w:trHeight w:val="180"/>
        </w:trPr>
        <w:tc>
          <w:tcPr>
            <w:tcW w:w="4253" w:type="dxa"/>
            <w:vMerge w:val="restart"/>
            <w:vAlign w:val="center"/>
          </w:tcPr>
          <w:p w:rsidR="00802D47" w:rsidRPr="00802D47" w:rsidRDefault="00802D47" w:rsidP="00AC033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  <w:r w:rsidRPr="00802D47">
              <w:rPr>
                <w:sz w:val="24"/>
                <w:szCs w:val="24"/>
              </w:rPr>
              <w:t xml:space="preserve">Препараты </w:t>
            </w:r>
          </w:p>
          <w:p w:rsidR="00802D47" w:rsidRPr="00802D47" w:rsidRDefault="00802D47" w:rsidP="00AC033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  <w:r w:rsidRPr="00802D47">
              <w:rPr>
                <w:sz w:val="24"/>
                <w:szCs w:val="24"/>
              </w:rPr>
              <w:t>(доза)</w:t>
            </w:r>
          </w:p>
        </w:tc>
        <w:tc>
          <w:tcPr>
            <w:tcW w:w="5400" w:type="dxa"/>
            <w:gridSpan w:val="3"/>
          </w:tcPr>
          <w:p w:rsidR="00802D47" w:rsidRPr="00802D47" w:rsidRDefault="00802D47" w:rsidP="00AC033A">
            <w:pPr>
              <w:spacing w:line="360" w:lineRule="auto"/>
              <w:jc w:val="center"/>
              <w:rPr>
                <w:sz w:val="24"/>
                <w:szCs w:val="24"/>
                <w:lang w:val="ru-RU"/>
              </w:rPr>
            </w:pPr>
            <w:r w:rsidRPr="00802D47">
              <w:rPr>
                <w:sz w:val="24"/>
                <w:szCs w:val="24"/>
                <w:lang w:val="ru-RU"/>
              </w:rPr>
              <w:t>Длительность каталепсии (сек) в различное время после введения галоперидола</w:t>
            </w:r>
          </w:p>
        </w:tc>
      </w:tr>
      <w:tr w:rsidR="00802D47" w:rsidRPr="00802D47" w:rsidTr="00802D47">
        <w:trPr>
          <w:cantSplit/>
          <w:trHeight w:val="180"/>
        </w:trPr>
        <w:tc>
          <w:tcPr>
            <w:tcW w:w="4253" w:type="dxa"/>
            <w:vMerge/>
            <w:tcBorders>
              <w:bottom w:val="single" w:sz="4" w:space="0" w:color="auto"/>
            </w:tcBorders>
          </w:tcPr>
          <w:p w:rsidR="00802D47" w:rsidRPr="00802D47" w:rsidRDefault="00802D47" w:rsidP="00AC033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00" w:type="dxa"/>
          </w:tcPr>
          <w:p w:rsidR="00802D47" w:rsidRPr="00802D47" w:rsidRDefault="00802D47" w:rsidP="00AC033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  <w:r w:rsidRPr="00802D47">
              <w:rPr>
                <w:sz w:val="24"/>
                <w:szCs w:val="24"/>
              </w:rPr>
              <w:t>30 мин</w:t>
            </w:r>
          </w:p>
        </w:tc>
        <w:tc>
          <w:tcPr>
            <w:tcW w:w="1800" w:type="dxa"/>
          </w:tcPr>
          <w:p w:rsidR="00802D47" w:rsidRPr="00802D47" w:rsidRDefault="00802D47" w:rsidP="00AC033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  <w:r w:rsidRPr="00802D47">
              <w:rPr>
                <w:sz w:val="24"/>
                <w:szCs w:val="24"/>
              </w:rPr>
              <w:t>60 мин</w:t>
            </w:r>
          </w:p>
        </w:tc>
        <w:tc>
          <w:tcPr>
            <w:tcW w:w="1800" w:type="dxa"/>
          </w:tcPr>
          <w:p w:rsidR="00802D47" w:rsidRPr="00802D47" w:rsidRDefault="00802D47" w:rsidP="00AC033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  <w:r w:rsidRPr="00802D47">
              <w:rPr>
                <w:sz w:val="24"/>
                <w:szCs w:val="24"/>
              </w:rPr>
              <w:t>120 мин</w:t>
            </w:r>
          </w:p>
        </w:tc>
      </w:tr>
      <w:tr w:rsidR="00802D47" w:rsidRPr="00802D47" w:rsidTr="00802D47">
        <w:trPr>
          <w:cantSplit/>
          <w:trHeight w:val="750"/>
        </w:trPr>
        <w:tc>
          <w:tcPr>
            <w:tcW w:w="4253" w:type="dxa"/>
          </w:tcPr>
          <w:p w:rsidR="00802D47" w:rsidRPr="00802D47" w:rsidRDefault="00802D47" w:rsidP="00AC033A">
            <w:pPr>
              <w:autoSpaceDE w:val="0"/>
              <w:autoSpaceDN w:val="0"/>
              <w:adjustRightInd w:val="0"/>
              <w:spacing w:line="360" w:lineRule="auto"/>
              <w:rPr>
                <w:sz w:val="24"/>
                <w:szCs w:val="24"/>
                <w:lang w:val="ru-RU"/>
              </w:rPr>
            </w:pPr>
            <w:r w:rsidRPr="00802D47">
              <w:rPr>
                <w:sz w:val="24"/>
                <w:szCs w:val="24"/>
                <w:lang w:val="ru-RU"/>
              </w:rPr>
              <w:t>Растворитель</w:t>
            </w:r>
          </w:p>
          <w:p w:rsidR="00802D47" w:rsidRPr="00802D47" w:rsidRDefault="00802D47" w:rsidP="00AC033A">
            <w:pPr>
              <w:autoSpaceDE w:val="0"/>
              <w:autoSpaceDN w:val="0"/>
              <w:adjustRightInd w:val="0"/>
              <w:spacing w:line="360" w:lineRule="auto"/>
              <w:rPr>
                <w:sz w:val="24"/>
                <w:szCs w:val="24"/>
                <w:lang w:val="ru-RU"/>
              </w:rPr>
            </w:pPr>
            <w:r w:rsidRPr="00802D47">
              <w:rPr>
                <w:sz w:val="24"/>
                <w:szCs w:val="24"/>
                <w:lang w:val="ru-RU"/>
              </w:rPr>
              <w:t xml:space="preserve">ГА </w:t>
            </w:r>
          </w:p>
          <w:p w:rsidR="00802D47" w:rsidRPr="00802D47" w:rsidRDefault="00802D47" w:rsidP="00AC033A">
            <w:pPr>
              <w:autoSpaceDE w:val="0"/>
              <w:autoSpaceDN w:val="0"/>
              <w:adjustRightInd w:val="0"/>
              <w:spacing w:line="360" w:lineRule="auto"/>
              <w:rPr>
                <w:sz w:val="24"/>
                <w:szCs w:val="24"/>
                <w:lang w:val="ru-RU"/>
              </w:rPr>
            </w:pPr>
            <w:r w:rsidRPr="00802D47">
              <w:rPr>
                <w:sz w:val="24"/>
                <w:szCs w:val="24"/>
                <w:lang w:val="ru-RU"/>
              </w:rPr>
              <w:t xml:space="preserve">ЦС </w:t>
            </w:r>
          </w:p>
          <w:p w:rsidR="00802D47" w:rsidRPr="00802D47" w:rsidRDefault="00802D47" w:rsidP="00AC033A">
            <w:pPr>
              <w:autoSpaceDE w:val="0"/>
              <w:autoSpaceDN w:val="0"/>
              <w:adjustRightInd w:val="0"/>
              <w:spacing w:line="360" w:lineRule="auto"/>
              <w:rPr>
                <w:sz w:val="24"/>
                <w:szCs w:val="24"/>
                <w:lang w:val="ru-RU"/>
              </w:rPr>
            </w:pPr>
            <w:r w:rsidRPr="00802D47">
              <w:rPr>
                <w:sz w:val="24"/>
                <w:szCs w:val="24"/>
                <w:lang w:val="ru-RU"/>
              </w:rPr>
              <w:t xml:space="preserve">ГА + ЦС </w:t>
            </w:r>
          </w:p>
          <w:p w:rsidR="00802D47" w:rsidRPr="00802D47" w:rsidRDefault="00802D47" w:rsidP="00AC033A">
            <w:pPr>
              <w:autoSpaceDE w:val="0"/>
              <w:autoSpaceDN w:val="0"/>
              <w:adjustRightInd w:val="0"/>
              <w:spacing w:line="360" w:lineRule="auto"/>
              <w:rPr>
                <w:sz w:val="24"/>
                <w:szCs w:val="24"/>
                <w:lang w:val="ru-RU"/>
              </w:rPr>
            </w:pPr>
            <w:r w:rsidRPr="00802D47">
              <w:rPr>
                <w:sz w:val="24"/>
                <w:szCs w:val="24"/>
                <w:lang w:val="ru-RU"/>
              </w:rPr>
              <w:t>ГА + ЦС  +МП (50 мг/кг)</w:t>
            </w:r>
          </w:p>
          <w:p w:rsidR="00802D47" w:rsidRPr="00802D47" w:rsidRDefault="00802D47" w:rsidP="00AC033A">
            <w:pPr>
              <w:autoSpaceDE w:val="0"/>
              <w:autoSpaceDN w:val="0"/>
              <w:adjustRightInd w:val="0"/>
              <w:spacing w:line="360" w:lineRule="auto"/>
              <w:rPr>
                <w:sz w:val="24"/>
                <w:szCs w:val="24"/>
                <w:lang w:val="ru-RU"/>
              </w:rPr>
            </w:pPr>
            <w:r w:rsidRPr="00802D47">
              <w:rPr>
                <w:sz w:val="24"/>
                <w:szCs w:val="24"/>
                <w:lang w:val="ru-RU"/>
              </w:rPr>
              <w:t>ГА + ЦС  +МП (100 мг/кг)</w:t>
            </w:r>
          </w:p>
          <w:p w:rsidR="00802D47" w:rsidRPr="00802D47" w:rsidRDefault="00802D47" w:rsidP="00AC033A">
            <w:pPr>
              <w:autoSpaceDE w:val="0"/>
              <w:autoSpaceDN w:val="0"/>
              <w:adjustRightInd w:val="0"/>
              <w:spacing w:line="360" w:lineRule="auto"/>
              <w:rPr>
                <w:sz w:val="24"/>
                <w:szCs w:val="24"/>
                <w:lang w:val="ru-RU"/>
              </w:rPr>
            </w:pPr>
            <w:r w:rsidRPr="00802D47">
              <w:rPr>
                <w:sz w:val="24"/>
                <w:szCs w:val="24"/>
                <w:lang w:val="ru-RU"/>
              </w:rPr>
              <w:t>ГА + ЦС  +МП (200 мг/кг)</w:t>
            </w:r>
          </w:p>
          <w:p w:rsidR="00802D47" w:rsidRPr="00802D47" w:rsidRDefault="00802D47" w:rsidP="00AC033A">
            <w:pPr>
              <w:autoSpaceDE w:val="0"/>
              <w:autoSpaceDN w:val="0"/>
              <w:adjustRightInd w:val="0"/>
              <w:spacing w:line="360" w:lineRule="auto"/>
              <w:rPr>
                <w:sz w:val="24"/>
                <w:szCs w:val="24"/>
              </w:rPr>
            </w:pPr>
            <w:r w:rsidRPr="00802D47">
              <w:rPr>
                <w:sz w:val="24"/>
                <w:szCs w:val="24"/>
              </w:rPr>
              <w:t>ГА + ЦС  +ДИМ+НИК</w:t>
            </w:r>
          </w:p>
        </w:tc>
        <w:tc>
          <w:tcPr>
            <w:tcW w:w="1800" w:type="dxa"/>
          </w:tcPr>
          <w:p w:rsidR="00802D47" w:rsidRPr="00802D47" w:rsidRDefault="00802D47" w:rsidP="00AC033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  <w:r w:rsidRPr="00802D47">
              <w:rPr>
                <w:sz w:val="24"/>
                <w:szCs w:val="24"/>
              </w:rPr>
              <w:t xml:space="preserve">  7.3±1.0</w:t>
            </w:r>
          </w:p>
          <w:p w:rsidR="00802D47" w:rsidRPr="00802D47" w:rsidRDefault="00802D47" w:rsidP="00AC033A">
            <w:pPr>
              <w:autoSpaceDE w:val="0"/>
              <w:autoSpaceDN w:val="0"/>
              <w:adjustRightInd w:val="0"/>
              <w:spacing w:line="360" w:lineRule="auto"/>
              <w:rPr>
                <w:sz w:val="24"/>
                <w:szCs w:val="24"/>
              </w:rPr>
            </w:pPr>
            <w:r w:rsidRPr="00802D47">
              <w:rPr>
                <w:sz w:val="24"/>
                <w:szCs w:val="24"/>
              </w:rPr>
              <w:t xml:space="preserve">        7.9±1.1</w:t>
            </w:r>
          </w:p>
          <w:p w:rsidR="00802D47" w:rsidRPr="00802D47" w:rsidRDefault="00802D47" w:rsidP="00AC033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  <w:r w:rsidRPr="00802D47">
              <w:rPr>
                <w:sz w:val="24"/>
                <w:szCs w:val="24"/>
              </w:rPr>
              <w:t xml:space="preserve">  7.8±1.2</w:t>
            </w:r>
          </w:p>
          <w:p w:rsidR="00802D47" w:rsidRPr="00802D47" w:rsidRDefault="00802D47" w:rsidP="00AC033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  <w:r w:rsidRPr="00802D47">
              <w:rPr>
                <w:sz w:val="24"/>
                <w:szCs w:val="24"/>
              </w:rPr>
              <w:t xml:space="preserve">    23,1±2,7*</w:t>
            </w:r>
          </w:p>
          <w:p w:rsidR="00802D47" w:rsidRPr="00802D47" w:rsidRDefault="00802D47" w:rsidP="00AC033A">
            <w:pPr>
              <w:autoSpaceDE w:val="0"/>
              <w:autoSpaceDN w:val="0"/>
              <w:adjustRightInd w:val="0"/>
              <w:spacing w:line="360" w:lineRule="auto"/>
              <w:rPr>
                <w:sz w:val="24"/>
                <w:szCs w:val="24"/>
              </w:rPr>
            </w:pPr>
            <w:r w:rsidRPr="00802D47">
              <w:rPr>
                <w:sz w:val="24"/>
                <w:szCs w:val="24"/>
              </w:rPr>
              <w:t xml:space="preserve">       22,9±2,8*</w:t>
            </w:r>
          </w:p>
          <w:p w:rsidR="00802D47" w:rsidRPr="00802D47" w:rsidRDefault="00802D47" w:rsidP="00AC033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  <w:r w:rsidRPr="00802D47">
              <w:rPr>
                <w:sz w:val="24"/>
                <w:szCs w:val="24"/>
              </w:rPr>
              <w:t xml:space="preserve">    17,4±2,3*</w:t>
            </w:r>
          </w:p>
          <w:p w:rsidR="00802D47" w:rsidRPr="00802D47" w:rsidRDefault="00802D47" w:rsidP="00AC033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  <w:r w:rsidRPr="00802D47">
              <w:rPr>
                <w:sz w:val="24"/>
                <w:szCs w:val="24"/>
              </w:rPr>
              <w:t xml:space="preserve">    16,1±2,2*</w:t>
            </w:r>
          </w:p>
          <w:p w:rsidR="00802D47" w:rsidRPr="00802D47" w:rsidRDefault="00802D47" w:rsidP="00AC033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  <w:r w:rsidRPr="00802D47">
              <w:rPr>
                <w:sz w:val="24"/>
                <w:szCs w:val="24"/>
              </w:rPr>
              <w:t xml:space="preserve">   8,9±1,4</w:t>
            </w:r>
          </w:p>
        </w:tc>
        <w:tc>
          <w:tcPr>
            <w:tcW w:w="1800" w:type="dxa"/>
          </w:tcPr>
          <w:p w:rsidR="00802D47" w:rsidRPr="00802D47" w:rsidRDefault="00802D47" w:rsidP="00AC033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  <w:r w:rsidRPr="00802D47">
              <w:rPr>
                <w:sz w:val="24"/>
                <w:szCs w:val="24"/>
              </w:rPr>
              <w:t>8.3±1.2</w:t>
            </w:r>
          </w:p>
          <w:p w:rsidR="00802D47" w:rsidRPr="00802D47" w:rsidRDefault="00802D47" w:rsidP="00AC033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  <w:r w:rsidRPr="00802D47">
              <w:rPr>
                <w:sz w:val="24"/>
                <w:szCs w:val="24"/>
              </w:rPr>
              <w:t>8.5±1.1</w:t>
            </w:r>
          </w:p>
          <w:p w:rsidR="00802D47" w:rsidRPr="00802D47" w:rsidRDefault="00802D47" w:rsidP="00AC033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  <w:r w:rsidRPr="00802D47">
              <w:rPr>
                <w:sz w:val="24"/>
                <w:szCs w:val="24"/>
              </w:rPr>
              <w:t>8,5±1,2</w:t>
            </w:r>
          </w:p>
          <w:p w:rsidR="00802D47" w:rsidRPr="00802D47" w:rsidRDefault="00802D47" w:rsidP="00AC033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  <w:r w:rsidRPr="00802D47">
              <w:rPr>
                <w:sz w:val="24"/>
                <w:szCs w:val="24"/>
              </w:rPr>
              <w:t>32,4±3,9*</w:t>
            </w:r>
          </w:p>
          <w:p w:rsidR="00802D47" w:rsidRPr="00802D47" w:rsidRDefault="00802D47" w:rsidP="00AC033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  <w:r w:rsidRPr="00802D47">
              <w:rPr>
                <w:sz w:val="24"/>
                <w:szCs w:val="24"/>
              </w:rPr>
              <w:t>33,1±3,7*</w:t>
            </w:r>
          </w:p>
          <w:p w:rsidR="00802D47" w:rsidRPr="00802D47" w:rsidRDefault="00802D47" w:rsidP="00AC033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  <w:r w:rsidRPr="00802D47">
              <w:rPr>
                <w:sz w:val="24"/>
                <w:szCs w:val="24"/>
              </w:rPr>
              <w:t>27,3±3,0*</w:t>
            </w:r>
          </w:p>
          <w:p w:rsidR="00802D47" w:rsidRPr="00802D47" w:rsidRDefault="00802D47" w:rsidP="00AC033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  <w:r w:rsidRPr="00802D47">
              <w:rPr>
                <w:sz w:val="24"/>
                <w:szCs w:val="24"/>
              </w:rPr>
              <w:t>24,1±3,2*</w:t>
            </w:r>
          </w:p>
          <w:p w:rsidR="00802D47" w:rsidRPr="00802D47" w:rsidRDefault="00802D47" w:rsidP="00AC033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  <w:r w:rsidRPr="00802D47">
              <w:rPr>
                <w:sz w:val="24"/>
                <w:szCs w:val="24"/>
              </w:rPr>
              <w:t>8,7±1,2</w:t>
            </w:r>
          </w:p>
        </w:tc>
        <w:tc>
          <w:tcPr>
            <w:tcW w:w="1800" w:type="dxa"/>
          </w:tcPr>
          <w:p w:rsidR="00802D47" w:rsidRPr="00802D47" w:rsidRDefault="00802D47" w:rsidP="00AC033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  <w:r w:rsidRPr="00802D47">
              <w:rPr>
                <w:sz w:val="24"/>
                <w:szCs w:val="24"/>
              </w:rPr>
              <w:t>8,0±1,1</w:t>
            </w:r>
          </w:p>
          <w:p w:rsidR="00802D47" w:rsidRPr="00802D47" w:rsidRDefault="00802D47" w:rsidP="00AC033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  <w:r w:rsidRPr="00802D47">
              <w:rPr>
                <w:sz w:val="24"/>
                <w:szCs w:val="24"/>
              </w:rPr>
              <w:t>7.9±1.1</w:t>
            </w:r>
          </w:p>
          <w:p w:rsidR="00802D47" w:rsidRPr="00802D47" w:rsidRDefault="00802D47" w:rsidP="00AC033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  <w:r w:rsidRPr="00802D47">
              <w:rPr>
                <w:sz w:val="24"/>
                <w:szCs w:val="24"/>
              </w:rPr>
              <w:t>7,8±1,1</w:t>
            </w:r>
          </w:p>
          <w:p w:rsidR="00802D47" w:rsidRPr="00802D47" w:rsidRDefault="00802D47" w:rsidP="00AC033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  <w:r w:rsidRPr="00802D47">
              <w:rPr>
                <w:sz w:val="24"/>
                <w:szCs w:val="24"/>
              </w:rPr>
              <w:t>25,3±2,7*</w:t>
            </w:r>
          </w:p>
          <w:p w:rsidR="00802D47" w:rsidRPr="00802D47" w:rsidRDefault="00802D47" w:rsidP="00AC033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  <w:r w:rsidRPr="00802D47">
              <w:rPr>
                <w:sz w:val="24"/>
                <w:szCs w:val="24"/>
              </w:rPr>
              <w:t>26,7±2,9*</w:t>
            </w:r>
          </w:p>
          <w:p w:rsidR="00802D47" w:rsidRPr="00802D47" w:rsidRDefault="00802D47" w:rsidP="00AC033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  <w:r w:rsidRPr="00802D47">
              <w:rPr>
                <w:sz w:val="24"/>
                <w:szCs w:val="24"/>
              </w:rPr>
              <w:t>20,3±2,7*</w:t>
            </w:r>
          </w:p>
          <w:p w:rsidR="00802D47" w:rsidRPr="00802D47" w:rsidRDefault="00802D47" w:rsidP="00AC033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  <w:r w:rsidRPr="00802D47">
              <w:rPr>
                <w:sz w:val="24"/>
                <w:szCs w:val="24"/>
              </w:rPr>
              <w:t>21,0±2,8*</w:t>
            </w:r>
          </w:p>
          <w:p w:rsidR="00802D47" w:rsidRPr="00802D47" w:rsidRDefault="00802D47" w:rsidP="00AC033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  <w:r w:rsidRPr="00802D47">
              <w:rPr>
                <w:sz w:val="24"/>
                <w:szCs w:val="24"/>
              </w:rPr>
              <w:t>8,3±1,1</w:t>
            </w:r>
          </w:p>
        </w:tc>
      </w:tr>
    </w:tbl>
    <w:p w:rsidR="00802D47" w:rsidRPr="00802D47" w:rsidRDefault="00802D47" w:rsidP="00AC033A">
      <w:pPr>
        <w:spacing w:line="360" w:lineRule="auto"/>
        <w:jc w:val="left"/>
        <w:rPr>
          <w:sz w:val="24"/>
          <w:szCs w:val="24"/>
          <w:lang w:val="ru-RU"/>
        </w:rPr>
      </w:pPr>
      <w:r w:rsidRPr="00802D47">
        <w:rPr>
          <w:sz w:val="24"/>
          <w:szCs w:val="24"/>
          <w:lang w:val="ru-RU"/>
        </w:rPr>
        <w:t xml:space="preserve">Данные представлены как среднее арифметическое  ± </w:t>
      </w:r>
      <w:r w:rsidRPr="00802D47">
        <w:rPr>
          <w:sz w:val="24"/>
          <w:szCs w:val="24"/>
        </w:rPr>
        <w:t>SEM</w:t>
      </w:r>
      <w:r w:rsidRPr="00802D47">
        <w:rPr>
          <w:sz w:val="24"/>
          <w:szCs w:val="24"/>
          <w:lang w:val="ru-RU"/>
        </w:rPr>
        <w:t xml:space="preserve"> (</w:t>
      </w:r>
      <w:r w:rsidRPr="00802D47">
        <w:rPr>
          <w:sz w:val="24"/>
          <w:szCs w:val="24"/>
        </w:rPr>
        <w:t>n</w:t>
      </w:r>
      <w:r w:rsidRPr="00802D47">
        <w:rPr>
          <w:sz w:val="24"/>
          <w:szCs w:val="24"/>
          <w:lang w:val="ru-RU"/>
        </w:rPr>
        <w:t>=10).</w:t>
      </w:r>
      <w:r w:rsidRPr="00802D47">
        <w:rPr>
          <w:sz w:val="24"/>
          <w:szCs w:val="24"/>
          <w:lang w:val="ru-RU"/>
        </w:rPr>
        <w:br/>
        <w:t>* - достоверные различия с группой, получавшей растворитель (р &lt;0.01).</w:t>
      </w:r>
      <w:r w:rsidRPr="00802D47">
        <w:rPr>
          <w:sz w:val="24"/>
          <w:szCs w:val="24"/>
          <w:lang w:val="ru-RU"/>
        </w:rPr>
        <w:br/>
        <w:t xml:space="preserve">ГА – гистамин в дозе 5,0 </w:t>
      </w:r>
      <w:r w:rsidRPr="00802D47">
        <w:rPr>
          <w:sz w:val="24"/>
          <w:szCs w:val="24"/>
        </w:rPr>
        <w:t>μg</w:t>
      </w:r>
      <w:r w:rsidRPr="00802D47">
        <w:rPr>
          <w:sz w:val="24"/>
          <w:szCs w:val="24"/>
          <w:lang w:val="ru-RU"/>
        </w:rPr>
        <w:t xml:space="preserve">; ЦС – циклосоматостатин в дозе 2,5 </w:t>
      </w:r>
      <w:r w:rsidRPr="00802D47">
        <w:rPr>
          <w:sz w:val="24"/>
          <w:szCs w:val="24"/>
        </w:rPr>
        <w:t>μg</w:t>
      </w:r>
      <w:r w:rsidRPr="00802D47">
        <w:rPr>
          <w:sz w:val="24"/>
          <w:szCs w:val="24"/>
          <w:lang w:val="ru-RU"/>
        </w:rPr>
        <w:t>; МП – мадопар  (доза в расчете на леводопу указана в скобках);</w:t>
      </w:r>
      <w:r>
        <w:rPr>
          <w:sz w:val="24"/>
          <w:szCs w:val="24"/>
          <w:lang w:val="ru-RU"/>
        </w:rPr>
        <w:t xml:space="preserve"> </w:t>
      </w:r>
      <w:r w:rsidRPr="00802D47">
        <w:rPr>
          <w:sz w:val="24"/>
          <w:szCs w:val="24"/>
          <w:lang w:val="ru-RU"/>
        </w:rPr>
        <w:t>ДИМ – димедрол в дозе 1 мг/кг; НИК- никотин в дозе 0,3 мг/кг.</w:t>
      </w:r>
    </w:p>
    <w:p w:rsidR="00802D47" w:rsidRDefault="00802D47" w:rsidP="00802D47">
      <w:pPr>
        <w:autoSpaceDE w:val="0"/>
        <w:autoSpaceDN w:val="0"/>
        <w:adjustRightInd w:val="0"/>
        <w:spacing w:line="360" w:lineRule="auto"/>
        <w:ind w:firstLine="709"/>
        <w:rPr>
          <w:iCs/>
          <w:sz w:val="24"/>
          <w:szCs w:val="28"/>
          <w:lang w:val="ru-RU"/>
        </w:rPr>
      </w:pPr>
    </w:p>
    <w:p w:rsidR="00206039" w:rsidRDefault="00206039" w:rsidP="00206039">
      <w:pPr>
        <w:spacing w:line="360" w:lineRule="auto"/>
        <w:ind w:firstLine="709"/>
        <w:rPr>
          <w:sz w:val="24"/>
          <w:lang w:val="ru-RU"/>
        </w:rPr>
      </w:pPr>
      <w:r w:rsidRPr="00AC033A">
        <w:rPr>
          <w:sz w:val="24"/>
          <w:lang w:val="ru-RU"/>
        </w:rPr>
        <w:t>Приведенные результаты свидетельствуют о потенциальном патогенном значении гистамин-соматостатинового дисбаланса, существующего в мозгу больных болезнью Паркинсона. При создании такого дисбаланса в мозгу здоровых мышей и крыс у животных развивается каталепсия -  состояние, сходное по проявлениям с экстрапирамидными нарушениями (брадикинезией и ригидностью)  у больных болезнью Паркинсона. Вызванное гистамин-соматостатиновым дисбалансом патологическое состояние в умеренной степени ингибируется эталонным препаратом мадопар и почти полностью устраняется сочетанием димедрола и никотина.</w:t>
      </w:r>
    </w:p>
    <w:p w:rsidR="00206039" w:rsidRDefault="00206039" w:rsidP="00802D47">
      <w:pPr>
        <w:autoSpaceDE w:val="0"/>
        <w:autoSpaceDN w:val="0"/>
        <w:adjustRightInd w:val="0"/>
        <w:spacing w:line="360" w:lineRule="auto"/>
        <w:ind w:firstLine="709"/>
        <w:rPr>
          <w:iCs/>
          <w:sz w:val="24"/>
          <w:szCs w:val="28"/>
          <w:lang w:val="ru-RU"/>
        </w:rPr>
      </w:pPr>
    </w:p>
    <w:p w:rsidR="00AC033A" w:rsidRDefault="00AC033A" w:rsidP="00802D47">
      <w:pPr>
        <w:autoSpaceDE w:val="0"/>
        <w:autoSpaceDN w:val="0"/>
        <w:adjustRightInd w:val="0"/>
        <w:spacing w:line="360" w:lineRule="auto"/>
        <w:ind w:firstLine="709"/>
        <w:rPr>
          <w:iCs/>
          <w:sz w:val="24"/>
          <w:szCs w:val="28"/>
          <w:lang w:val="ru-RU"/>
        </w:rPr>
      </w:pPr>
    </w:p>
    <w:p w:rsidR="00AC033A" w:rsidRDefault="00AC033A" w:rsidP="00802D47">
      <w:pPr>
        <w:autoSpaceDE w:val="0"/>
        <w:autoSpaceDN w:val="0"/>
        <w:adjustRightInd w:val="0"/>
        <w:spacing w:line="360" w:lineRule="auto"/>
        <w:ind w:firstLine="709"/>
        <w:rPr>
          <w:iCs/>
          <w:sz w:val="24"/>
          <w:szCs w:val="28"/>
          <w:lang w:val="ru-RU"/>
        </w:rPr>
      </w:pPr>
    </w:p>
    <w:p w:rsidR="00AC033A" w:rsidRDefault="00AC033A" w:rsidP="00802D47">
      <w:pPr>
        <w:autoSpaceDE w:val="0"/>
        <w:autoSpaceDN w:val="0"/>
        <w:adjustRightInd w:val="0"/>
        <w:spacing w:line="360" w:lineRule="auto"/>
        <w:ind w:firstLine="709"/>
        <w:rPr>
          <w:iCs/>
          <w:sz w:val="24"/>
          <w:szCs w:val="28"/>
          <w:lang w:val="ru-RU"/>
        </w:rPr>
      </w:pPr>
    </w:p>
    <w:p w:rsidR="006C0A78" w:rsidRPr="006C0A78" w:rsidRDefault="006C0A78" w:rsidP="00AC033A">
      <w:pPr>
        <w:spacing w:line="360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Таблица 2</w:t>
      </w:r>
      <w:r w:rsidRPr="006C0A78">
        <w:rPr>
          <w:sz w:val="24"/>
          <w:szCs w:val="24"/>
          <w:lang w:val="ru-RU"/>
        </w:rPr>
        <w:t xml:space="preserve">. Влияние препаратов на каталептогенный эффект галоперидола в дозе 0.25  </w:t>
      </w:r>
      <w:r w:rsidRPr="006C0A78">
        <w:rPr>
          <w:sz w:val="24"/>
          <w:szCs w:val="24"/>
        </w:rPr>
        <w:t>mg</w:t>
      </w:r>
      <w:r w:rsidRPr="006C0A78">
        <w:rPr>
          <w:sz w:val="24"/>
          <w:szCs w:val="24"/>
          <w:lang w:val="ru-RU"/>
        </w:rPr>
        <w:t>/</w:t>
      </w:r>
      <w:r w:rsidRPr="006C0A78">
        <w:rPr>
          <w:sz w:val="24"/>
          <w:szCs w:val="24"/>
        </w:rPr>
        <w:t>kg</w:t>
      </w:r>
      <w:r w:rsidRPr="006C0A78">
        <w:rPr>
          <w:sz w:val="24"/>
          <w:szCs w:val="24"/>
          <w:lang w:val="ru-RU"/>
        </w:rPr>
        <w:t xml:space="preserve">  у крыс</w:t>
      </w:r>
    </w:p>
    <w:tbl>
      <w:tblPr>
        <w:tblW w:w="97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1800"/>
        <w:gridCol w:w="1800"/>
        <w:gridCol w:w="1800"/>
      </w:tblGrid>
      <w:tr w:rsidR="006C0A78" w:rsidRPr="00355D8C" w:rsidTr="006C0A78">
        <w:trPr>
          <w:cantSplit/>
          <w:trHeight w:val="180"/>
        </w:trPr>
        <w:tc>
          <w:tcPr>
            <w:tcW w:w="4395" w:type="dxa"/>
            <w:vMerge w:val="restart"/>
            <w:vAlign w:val="center"/>
          </w:tcPr>
          <w:p w:rsidR="006C0A78" w:rsidRPr="006C0A78" w:rsidRDefault="006C0A78" w:rsidP="00AC033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  <w:r w:rsidRPr="006C0A78">
              <w:rPr>
                <w:sz w:val="24"/>
                <w:szCs w:val="24"/>
              </w:rPr>
              <w:t xml:space="preserve">Препараты </w:t>
            </w:r>
          </w:p>
          <w:p w:rsidR="006C0A78" w:rsidRPr="006C0A78" w:rsidRDefault="006C0A78" w:rsidP="00AC033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  <w:r w:rsidRPr="006C0A78">
              <w:rPr>
                <w:sz w:val="24"/>
                <w:szCs w:val="24"/>
              </w:rPr>
              <w:t>(доза)</w:t>
            </w:r>
          </w:p>
        </w:tc>
        <w:tc>
          <w:tcPr>
            <w:tcW w:w="5400" w:type="dxa"/>
            <w:gridSpan w:val="3"/>
          </w:tcPr>
          <w:p w:rsidR="006C0A78" w:rsidRPr="006C0A78" w:rsidRDefault="006C0A78" w:rsidP="00AC033A">
            <w:pPr>
              <w:spacing w:line="360" w:lineRule="auto"/>
              <w:jc w:val="center"/>
              <w:rPr>
                <w:sz w:val="24"/>
                <w:szCs w:val="24"/>
                <w:lang w:val="ru-RU"/>
              </w:rPr>
            </w:pPr>
            <w:r w:rsidRPr="006C0A78">
              <w:rPr>
                <w:sz w:val="24"/>
                <w:szCs w:val="24"/>
                <w:lang w:val="ru-RU"/>
              </w:rPr>
              <w:t>Длительность каталепсии (сек) в различное время после введения галоперидола</w:t>
            </w:r>
          </w:p>
        </w:tc>
      </w:tr>
      <w:tr w:rsidR="006C0A78" w:rsidRPr="006C0A78" w:rsidTr="006C0A78">
        <w:trPr>
          <w:cantSplit/>
          <w:trHeight w:val="180"/>
        </w:trPr>
        <w:tc>
          <w:tcPr>
            <w:tcW w:w="4395" w:type="dxa"/>
            <w:vMerge/>
            <w:tcBorders>
              <w:bottom w:val="single" w:sz="4" w:space="0" w:color="auto"/>
            </w:tcBorders>
          </w:tcPr>
          <w:p w:rsidR="006C0A78" w:rsidRPr="006C0A78" w:rsidRDefault="006C0A78" w:rsidP="00AC033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00" w:type="dxa"/>
          </w:tcPr>
          <w:p w:rsidR="006C0A78" w:rsidRPr="006C0A78" w:rsidRDefault="006C0A78" w:rsidP="00AC033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  <w:r w:rsidRPr="006C0A78">
              <w:rPr>
                <w:sz w:val="24"/>
                <w:szCs w:val="24"/>
              </w:rPr>
              <w:t>60 мин</w:t>
            </w:r>
          </w:p>
        </w:tc>
        <w:tc>
          <w:tcPr>
            <w:tcW w:w="1800" w:type="dxa"/>
          </w:tcPr>
          <w:p w:rsidR="006C0A78" w:rsidRPr="006C0A78" w:rsidRDefault="006C0A78" w:rsidP="00AC033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  <w:r w:rsidRPr="006C0A78">
              <w:rPr>
                <w:sz w:val="24"/>
                <w:szCs w:val="24"/>
              </w:rPr>
              <w:t>120 мин</w:t>
            </w:r>
          </w:p>
        </w:tc>
        <w:tc>
          <w:tcPr>
            <w:tcW w:w="1800" w:type="dxa"/>
          </w:tcPr>
          <w:p w:rsidR="006C0A78" w:rsidRPr="006C0A78" w:rsidRDefault="006C0A78" w:rsidP="00AC033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  <w:r w:rsidRPr="006C0A78">
              <w:rPr>
                <w:sz w:val="24"/>
                <w:szCs w:val="24"/>
              </w:rPr>
              <w:t>240 мин</w:t>
            </w:r>
          </w:p>
        </w:tc>
      </w:tr>
      <w:tr w:rsidR="006C0A78" w:rsidRPr="006C0A78" w:rsidTr="006C0A78">
        <w:trPr>
          <w:cantSplit/>
          <w:trHeight w:val="750"/>
        </w:trPr>
        <w:tc>
          <w:tcPr>
            <w:tcW w:w="4395" w:type="dxa"/>
          </w:tcPr>
          <w:p w:rsidR="006C0A78" w:rsidRPr="006C0A78" w:rsidRDefault="006C0A78" w:rsidP="00AC033A">
            <w:pPr>
              <w:autoSpaceDE w:val="0"/>
              <w:autoSpaceDN w:val="0"/>
              <w:adjustRightInd w:val="0"/>
              <w:spacing w:line="360" w:lineRule="auto"/>
              <w:rPr>
                <w:sz w:val="24"/>
                <w:szCs w:val="24"/>
                <w:lang w:val="ru-RU"/>
              </w:rPr>
            </w:pPr>
            <w:r w:rsidRPr="006C0A78">
              <w:rPr>
                <w:sz w:val="24"/>
                <w:szCs w:val="24"/>
                <w:lang w:val="ru-RU"/>
              </w:rPr>
              <w:t>Растворитель</w:t>
            </w:r>
          </w:p>
          <w:p w:rsidR="006C0A78" w:rsidRPr="006C0A78" w:rsidRDefault="006C0A78" w:rsidP="00AC033A">
            <w:pPr>
              <w:autoSpaceDE w:val="0"/>
              <w:autoSpaceDN w:val="0"/>
              <w:adjustRightInd w:val="0"/>
              <w:spacing w:line="360" w:lineRule="auto"/>
              <w:rPr>
                <w:sz w:val="24"/>
                <w:szCs w:val="24"/>
                <w:lang w:val="ru-RU"/>
              </w:rPr>
            </w:pPr>
            <w:r w:rsidRPr="006C0A78">
              <w:rPr>
                <w:sz w:val="24"/>
                <w:szCs w:val="24"/>
                <w:lang w:val="ru-RU"/>
              </w:rPr>
              <w:t xml:space="preserve">ГА </w:t>
            </w:r>
          </w:p>
          <w:p w:rsidR="006C0A78" w:rsidRPr="006C0A78" w:rsidRDefault="006C0A78" w:rsidP="00AC033A">
            <w:pPr>
              <w:autoSpaceDE w:val="0"/>
              <w:autoSpaceDN w:val="0"/>
              <w:adjustRightInd w:val="0"/>
              <w:spacing w:line="360" w:lineRule="auto"/>
              <w:rPr>
                <w:sz w:val="24"/>
                <w:szCs w:val="24"/>
                <w:lang w:val="ru-RU"/>
              </w:rPr>
            </w:pPr>
            <w:r w:rsidRPr="006C0A78">
              <w:rPr>
                <w:sz w:val="24"/>
                <w:szCs w:val="24"/>
                <w:lang w:val="ru-RU"/>
              </w:rPr>
              <w:t xml:space="preserve">ЦС </w:t>
            </w:r>
          </w:p>
          <w:p w:rsidR="006C0A78" w:rsidRPr="006C0A78" w:rsidRDefault="006C0A78" w:rsidP="00AC033A">
            <w:pPr>
              <w:autoSpaceDE w:val="0"/>
              <w:autoSpaceDN w:val="0"/>
              <w:adjustRightInd w:val="0"/>
              <w:spacing w:line="360" w:lineRule="auto"/>
              <w:rPr>
                <w:sz w:val="24"/>
                <w:szCs w:val="24"/>
                <w:lang w:val="ru-RU"/>
              </w:rPr>
            </w:pPr>
            <w:r w:rsidRPr="006C0A78">
              <w:rPr>
                <w:sz w:val="24"/>
                <w:szCs w:val="24"/>
                <w:lang w:val="ru-RU"/>
              </w:rPr>
              <w:t xml:space="preserve">ГА + ЦС </w:t>
            </w:r>
          </w:p>
          <w:p w:rsidR="006C0A78" w:rsidRPr="006C0A78" w:rsidRDefault="006C0A78" w:rsidP="00AC033A">
            <w:pPr>
              <w:autoSpaceDE w:val="0"/>
              <w:autoSpaceDN w:val="0"/>
              <w:adjustRightInd w:val="0"/>
              <w:spacing w:line="360" w:lineRule="auto"/>
              <w:rPr>
                <w:sz w:val="24"/>
                <w:szCs w:val="24"/>
                <w:lang w:val="ru-RU"/>
              </w:rPr>
            </w:pPr>
            <w:r w:rsidRPr="006C0A78">
              <w:rPr>
                <w:sz w:val="24"/>
                <w:szCs w:val="24"/>
                <w:lang w:val="ru-RU"/>
              </w:rPr>
              <w:t>ГА + ЦС +МП (50 мг/кг)</w:t>
            </w:r>
          </w:p>
          <w:p w:rsidR="006C0A78" w:rsidRPr="006C0A78" w:rsidRDefault="006C0A78" w:rsidP="00AC033A">
            <w:pPr>
              <w:autoSpaceDE w:val="0"/>
              <w:autoSpaceDN w:val="0"/>
              <w:adjustRightInd w:val="0"/>
              <w:spacing w:line="360" w:lineRule="auto"/>
              <w:rPr>
                <w:sz w:val="24"/>
                <w:szCs w:val="24"/>
                <w:lang w:val="ru-RU"/>
              </w:rPr>
            </w:pPr>
            <w:r w:rsidRPr="006C0A78">
              <w:rPr>
                <w:sz w:val="24"/>
                <w:szCs w:val="24"/>
                <w:lang w:val="ru-RU"/>
              </w:rPr>
              <w:t>ГА + ЦС +МП (100 мг/кг)</w:t>
            </w:r>
          </w:p>
          <w:p w:rsidR="006C0A78" w:rsidRPr="006C0A78" w:rsidRDefault="006C0A78" w:rsidP="00AC033A">
            <w:pPr>
              <w:autoSpaceDE w:val="0"/>
              <w:autoSpaceDN w:val="0"/>
              <w:adjustRightInd w:val="0"/>
              <w:spacing w:line="360" w:lineRule="auto"/>
              <w:rPr>
                <w:sz w:val="24"/>
                <w:szCs w:val="24"/>
                <w:lang w:val="ru-RU"/>
              </w:rPr>
            </w:pPr>
            <w:r w:rsidRPr="006C0A78">
              <w:rPr>
                <w:sz w:val="24"/>
                <w:szCs w:val="24"/>
                <w:lang w:val="ru-RU"/>
              </w:rPr>
              <w:t>ГА + ЦС +МП (200 мг/кг)</w:t>
            </w:r>
          </w:p>
          <w:p w:rsidR="006C0A78" w:rsidRPr="006C0A78" w:rsidRDefault="006C0A78" w:rsidP="00AC033A">
            <w:pPr>
              <w:autoSpaceDE w:val="0"/>
              <w:autoSpaceDN w:val="0"/>
              <w:adjustRightInd w:val="0"/>
              <w:spacing w:line="360" w:lineRule="auto"/>
              <w:rPr>
                <w:sz w:val="24"/>
                <w:szCs w:val="24"/>
              </w:rPr>
            </w:pPr>
            <w:r w:rsidRPr="006C0A78">
              <w:rPr>
                <w:sz w:val="24"/>
                <w:szCs w:val="24"/>
              </w:rPr>
              <w:t>ГА + ЦС +ДИМ+НИК</w:t>
            </w:r>
          </w:p>
        </w:tc>
        <w:tc>
          <w:tcPr>
            <w:tcW w:w="1800" w:type="dxa"/>
          </w:tcPr>
          <w:p w:rsidR="006C0A78" w:rsidRPr="006C0A78" w:rsidRDefault="006C0A78" w:rsidP="00AC033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  <w:r w:rsidRPr="006C0A78">
              <w:rPr>
                <w:sz w:val="24"/>
                <w:szCs w:val="24"/>
              </w:rPr>
              <w:t>9,9±1,3</w:t>
            </w:r>
          </w:p>
          <w:p w:rsidR="006C0A78" w:rsidRPr="006C0A78" w:rsidRDefault="006C0A78" w:rsidP="00AC033A">
            <w:pPr>
              <w:autoSpaceDE w:val="0"/>
              <w:autoSpaceDN w:val="0"/>
              <w:adjustRightInd w:val="0"/>
              <w:spacing w:line="360" w:lineRule="auto"/>
              <w:rPr>
                <w:sz w:val="24"/>
                <w:szCs w:val="24"/>
              </w:rPr>
            </w:pPr>
            <w:r w:rsidRPr="006C0A78">
              <w:rPr>
                <w:sz w:val="24"/>
                <w:szCs w:val="24"/>
              </w:rPr>
              <w:t xml:space="preserve">       10,2±1,4</w:t>
            </w:r>
          </w:p>
          <w:p w:rsidR="006C0A78" w:rsidRPr="006C0A78" w:rsidRDefault="006C0A78" w:rsidP="00AC033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  <w:r w:rsidRPr="006C0A78">
              <w:rPr>
                <w:sz w:val="24"/>
                <w:szCs w:val="24"/>
              </w:rPr>
              <w:t xml:space="preserve">   11,4±1,6</w:t>
            </w:r>
          </w:p>
          <w:p w:rsidR="006C0A78" w:rsidRPr="006C0A78" w:rsidRDefault="006C0A78" w:rsidP="00AC033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  <w:r w:rsidRPr="006C0A78">
              <w:rPr>
                <w:sz w:val="24"/>
                <w:szCs w:val="24"/>
              </w:rPr>
              <w:t xml:space="preserve">     32,6±4,2*</w:t>
            </w:r>
          </w:p>
          <w:p w:rsidR="006C0A78" w:rsidRPr="006C0A78" w:rsidRDefault="006C0A78" w:rsidP="00AC033A">
            <w:pPr>
              <w:autoSpaceDE w:val="0"/>
              <w:autoSpaceDN w:val="0"/>
              <w:adjustRightInd w:val="0"/>
              <w:spacing w:line="360" w:lineRule="auto"/>
              <w:rPr>
                <w:sz w:val="24"/>
                <w:szCs w:val="24"/>
              </w:rPr>
            </w:pPr>
            <w:r w:rsidRPr="006C0A78">
              <w:rPr>
                <w:sz w:val="24"/>
                <w:szCs w:val="24"/>
              </w:rPr>
              <w:t xml:space="preserve">        30,7±4,0*</w:t>
            </w:r>
          </w:p>
          <w:p w:rsidR="006C0A78" w:rsidRPr="006C0A78" w:rsidRDefault="006C0A78" w:rsidP="00AC033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  <w:r w:rsidRPr="006C0A78">
              <w:rPr>
                <w:sz w:val="24"/>
                <w:szCs w:val="24"/>
              </w:rPr>
              <w:t xml:space="preserve">      24,2±3,1*</w:t>
            </w:r>
          </w:p>
          <w:p w:rsidR="006C0A78" w:rsidRPr="006C0A78" w:rsidRDefault="006C0A78" w:rsidP="00AC033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  <w:r w:rsidRPr="006C0A78">
              <w:rPr>
                <w:sz w:val="24"/>
                <w:szCs w:val="24"/>
              </w:rPr>
              <w:t xml:space="preserve">      23,9±3,3*</w:t>
            </w:r>
          </w:p>
          <w:p w:rsidR="006C0A78" w:rsidRPr="006C0A78" w:rsidRDefault="006C0A78" w:rsidP="00AC033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  <w:r w:rsidRPr="006C0A78">
              <w:rPr>
                <w:sz w:val="24"/>
                <w:szCs w:val="24"/>
              </w:rPr>
              <w:t xml:space="preserve">    12,7±1,7</w:t>
            </w:r>
          </w:p>
        </w:tc>
        <w:tc>
          <w:tcPr>
            <w:tcW w:w="1800" w:type="dxa"/>
          </w:tcPr>
          <w:p w:rsidR="006C0A78" w:rsidRPr="006C0A78" w:rsidRDefault="006C0A78" w:rsidP="00AC033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  <w:r w:rsidRPr="006C0A78">
              <w:rPr>
                <w:sz w:val="24"/>
                <w:szCs w:val="24"/>
              </w:rPr>
              <w:t>10,3±1,2</w:t>
            </w:r>
          </w:p>
          <w:p w:rsidR="006C0A78" w:rsidRPr="006C0A78" w:rsidRDefault="006C0A78" w:rsidP="00AC033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  <w:r w:rsidRPr="006C0A78">
              <w:rPr>
                <w:sz w:val="24"/>
                <w:szCs w:val="24"/>
              </w:rPr>
              <w:t>9,8±1,1</w:t>
            </w:r>
          </w:p>
          <w:p w:rsidR="006C0A78" w:rsidRPr="006C0A78" w:rsidRDefault="006C0A78" w:rsidP="00AC033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  <w:r w:rsidRPr="006C0A78">
              <w:rPr>
                <w:sz w:val="24"/>
                <w:szCs w:val="24"/>
              </w:rPr>
              <w:t>10,9±1,3</w:t>
            </w:r>
          </w:p>
          <w:p w:rsidR="006C0A78" w:rsidRPr="006C0A78" w:rsidRDefault="006C0A78" w:rsidP="00AC033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  <w:r w:rsidRPr="006C0A78">
              <w:rPr>
                <w:sz w:val="24"/>
                <w:szCs w:val="24"/>
              </w:rPr>
              <w:t xml:space="preserve">  41,0±5,3*</w:t>
            </w:r>
          </w:p>
          <w:p w:rsidR="006C0A78" w:rsidRPr="006C0A78" w:rsidRDefault="006C0A78" w:rsidP="00AC033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  <w:r w:rsidRPr="006C0A78">
              <w:rPr>
                <w:sz w:val="24"/>
                <w:szCs w:val="24"/>
              </w:rPr>
              <w:t xml:space="preserve">  35,2±4,4*</w:t>
            </w:r>
          </w:p>
          <w:p w:rsidR="006C0A78" w:rsidRPr="006C0A78" w:rsidRDefault="006C0A78" w:rsidP="00AC033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  <w:r w:rsidRPr="006C0A78">
              <w:rPr>
                <w:sz w:val="24"/>
                <w:szCs w:val="24"/>
              </w:rPr>
              <w:t xml:space="preserve">  22,8±3,1*</w:t>
            </w:r>
            <w:r w:rsidRPr="006C0A78">
              <w:rPr>
                <w:sz w:val="24"/>
                <w:szCs w:val="24"/>
                <w:vertAlign w:val="superscript"/>
              </w:rPr>
              <w:t>,</w:t>
            </w:r>
            <w:r w:rsidRPr="006C0A78">
              <w:rPr>
                <w:sz w:val="24"/>
                <w:szCs w:val="24"/>
              </w:rPr>
              <w:t>**</w:t>
            </w:r>
          </w:p>
          <w:p w:rsidR="006C0A78" w:rsidRPr="006C0A78" w:rsidRDefault="006C0A78" w:rsidP="00AC033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  <w:r w:rsidRPr="006C0A78">
              <w:rPr>
                <w:sz w:val="24"/>
                <w:szCs w:val="24"/>
              </w:rPr>
              <w:t xml:space="preserve">  25,6±3,3*</w:t>
            </w:r>
            <w:r w:rsidRPr="006C0A78">
              <w:rPr>
                <w:sz w:val="24"/>
                <w:szCs w:val="24"/>
                <w:vertAlign w:val="superscript"/>
              </w:rPr>
              <w:t>,</w:t>
            </w:r>
            <w:r w:rsidRPr="006C0A78">
              <w:rPr>
                <w:sz w:val="24"/>
                <w:szCs w:val="24"/>
              </w:rPr>
              <w:t>**</w:t>
            </w:r>
          </w:p>
          <w:p w:rsidR="006C0A78" w:rsidRPr="006C0A78" w:rsidRDefault="006C0A78" w:rsidP="00AC033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  <w:r w:rsidRPr="006C0A78">
              <w:rPr>
                <w:sz w:val="24"/>
                <w:szCs w:val="24"/>
              </w:rPr>
              <w:t xml:space="preserve"> 11,9±1,5</w:t>
            </w:r>
          </w:p>
        </w:tc>
        <w:tc>
          <w:tcPr>
            <w:tcW w:w="1800" w:type="dxa"/>
          </w:tcPr>
          <w:p w:rsidR="006C0A78" w:rsidRPr="006C0A78" w:rsidRDefault="006C0A78" w:rsidP="00AC033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  <w:r w:rsidRPr="006C0A78">
              <w:rPr>
                <w:sz w:val="24"/>
                <w:szCs w:val="24"/>
              </w:rPr>
              <w:t>10,2±1,1</w:t>
            </w:r>
          </w:p>
          <w:p w:rsidR="006C0A78" w:rsidRPr="006C0A78" w:rsidRDefault="006C0A78" w:rsidP="00AC033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  <w:r w:rsidRPr="006C0A78">
              <w:rPr>
                <w:sz w:val="24"/>
                <w:szCs w:val="24"/>
              </w:rPr>
              <w:t>10,1±1,2</w:t>
            </w:r>
          </w:p>
          <w:p w:rsidR="006C0A78" w:rsidRPr="006C0A78" w:rsidRDefault="006C0A78" w:rsidP="00AC033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  <w:r w:rsidRPr="006C0A78">
              <w:rPr>
                <w:sz w:val="24"/>
                <w:szCs w:val="24"/>
              </w:rPr>
              <w:t>11,6±1,5</w:t>
            </w:r>
          </w:p>
          <w:p w:rsidR="006C0A78" w:rsidRPr="006C0A78" w:rsidRDefault="006C0A78" w:rsidP="00AC033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  <w:r w:rsidRPr="006C0A78">
              <w:rPr>
                <w:sz w:val="24"/>
                <w:szCs w:val="24"/>
              </w:rPr>
              <w:t>29,1±3,9*</w:t>
            </w:r>
          </w:p>
          <w:p w:rsidR="006C0A78" w:rsidRPr="006C0A78" w:rsidRDefault="006C0A78" w:rsidP="00AC033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  <w:r w:rsidRPr="006C0A78">
              <w:rPr>
                <w:sz w:val="24"/>
                <w:szCs w:val="24"/>
              </w:rPr>
              <w:t>29,4±3,9*</w:t>
            </w:r>
          </w:p>
          <w:p w:rsidR="006C0A78" w:rsidRPr="006C0A78" w:rsidRDefault="006C0A78" w:rsidP="00AC033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  <w:r w:rsidRPr="006C0A78">
              <w:rPr>
                <w:sz w:val="24"/>
                <w:szCs w:val="24"/>
              </w:rPr>
              <w:t>21,8±2,8*</w:t>
            </w:r>
          </w:p>
          <w:p w:rsidR="006C0A78" w:rsidRPr="006C0A78" w:rsidRDefault="006C0A78" w:rsidP="00AC033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  <w:r w:rsidRPr="006C0A78">
              <w:rPr>
                <w:sz w:val="24"/>
                <w:szCs w:val="24"/>
              </w:rPr>
              <w:t>23,2±3,3*</w:t>
            </w:r>
          </w:p>
          <w:p w:rsidR="006C0A78" w:rsidRPr="006C0A78" w:rsidRDefault="006C0A78" w:rsidP="00AC033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  <w:r w:rsidRPr="006C0A78">
              <w:rPr>
                <w:sz w:val="24"/>
                <w:szCs w:val="24"/>
              </w:rPr>
              <w:t>11,8±1,5</w:t>
            </w:r>
          </w:p>
        </w:tc>
      </w:tr>
    </w:tbl>
    <w:p w:rsidR="006C0A78" w:rsidRPr="006C0A78" w:rsidRDefault="006C0A78" w:rsidP="00AC033A">
      <w:pPr>
        <w:spacing w:line="360" w:lineRule="auto"/>
        <w:jc w:val="left"/>
        <w:rPr>
          <w:sz w:val="24"/>
          <w:szCs w:val="24"/>
          <w:lang w:val="ru-RU"/>
        </w:rPr>
      </w:pPr>
      <w:r w:rsidRPr="006C0A78">
        <w:rPr>
          <w:sz w:val="24"/>
          <w:szCs w:val="24"/>
          <w:lang w:val="ru-RU"/>
        </w:rPr>
        <w:t xml:space="preserve">Данные представлены как среднее арифметическое  ± </w:t>
      </w:r>
      <w:r w:rsidRPr="006C0A78">
        <w:rPr>
          <w:sz w:val="24"/>
          <w:szCs w:val="24"/>
        </w:rPr>
        <w:t>SEM</w:t>
      </w:r>
      <w:r w:rsidRPr="006C0A78">
        <w:rPr>
          <w:sz w:val="24"/>
          <w:szCs w:val="24"/>
          <w:lang w:val="ru-RU"/>
        </w:rPr>
        <w:t xml:space="preserve"> (</w:t>
      </w:r>
      <w:r w:rsidRPr="006C0A78">
        <w:rPr>
          <w:sz w:val="24"/>
          <w:szCs w:val="24"/>
        </w:rPr>
        <w:t>n</w:t>
      </w:r>
      <w:r w:rsidRPr="006C0A78">
        <w:rPr>
          <w:sz w:val="24"/>
          <w:szCs w:val="24"/>
          <w:lang w:val="ru-RU"/>
        </w:rPr>
        <w:t>=10).</w:t>
      </w:r>
      <w:r w:rsidRPr="006C0A78">
        <w:rPr>
          <w:sz w:val="24"/>
          <w:szCs w:val="24"/>
          <w:lang w:val="ru-RU"/>
        </w:rPr>
        <w:br/>
        <w:t>* - достоверные различия с группой, получавшей растворитель (р &lt;0.01).</w:t>
      </w:r>
    </w:p>
    <w:p w:rsidR="006C0A78" w:rsidRDefault="006C0A78" w:rsidP="00AC033A">
      <w:pPr>
        <w:spacing w:line="360" w:lineRule="auto"/>
        <w:jc w:val="left"/>
        <w:rPr>
          <w:sz w:val="24"/>
          <w:lang w:val="ru-RU"/>
        </w:rPr>
      </w:pPr>
      <w:r w:rsidRPr="006C0A78">
        <w:rPr>
          <w:sz w:val="24"/>
          <w:szCs w:val="24"/>
          <w:lang w:val="ru-RU"/>
        </w:rPr>
        <w:t>** - достоверные различия с группой, получавшей гистамин и циклосоматостатин</w:t>
      </w:r>
      <w:r>
        <w:rPr>
          <w:sz w:val="24"/>
          <w:szCs w:val="24"/>
          <w:lang w:val="ru-RU"/>
        </w:rPr>
        <w:t xml:space="preserve"> </w:t>
      </w:r>
      <w:r w:rsidRPr="006C0A78">
        <w:rPr>
          <w:sz w:val="24"/>
          <w:szCs w:val="24"/>
          <w:lang w:val="ru-RU"/>
        </w:rPr>
        <w:t xml:space="preserve"> (р &lt;0.05)</w:t>
      </w:r>
      <w:r>
        <w:rPr>
          <w:sz w:val="24"/>
          <w:szCs w:val="24"/>
          <w:lang w:val="ru-RU"/>
        </w:rPr>
        <w:t xml:space="preserve">. </w:t>
      </w:r>
      <w:r w:rsidRPr="006C0A78">
        <w:rPr>
          <w:sz w:val="24"/>
          <w:szCs w:val="24"/>
          <w:lang w:val="ru-RU"/>
        </w:rPr>
        <w:t xml:space="preserve">ГА – гистамин в дозе 1,0 </w:t>
      </w:r>
      <w:r w:rsidRPr="006C0A78">
        <w:rPr>
          <w:sz w:val="24"/>
          <w:szCs w:val="24"/>
        </w:rPr>
        <w:t>μg</w:t>
      </w:r>
      <w:r w:rsidRPr="006C0A78">
        <w:rPr>
          <w:sz w:val="24"/>
          <w:szCs w:val="24"/>
          <w:lang w:val="ru-RU"/>
        </w:rPr>
        <w:t xml:space="preserve">; ЦС – циклосоматостатин в дозе 5,0 </w:t>
      </w:r>
      <w:r w:rsidRPr="006C0A78">
        <w:rPr>
          <w:sz w:val="24"/>
          <w:szCs w:val="24"/>
        </w:rPr>
        <w:t>μg</w:t>
      </w:r>
      <w:r w:rsidRPr="006C0A78">
        <w:rPr>
          <w:sz w:val="24"/>
          <w:szCs w:val="24"/>
          <w:lang w:val="ru-RU"/>
        </w:rPr>
        <w:t>; МП – мадопар  (доза в расчете на леводопу указана в скобках);</w:t>
      </w:r>
      <w:r>
        <w:rPr>
          <w:sz w:val="24"/>
          <w:szCs w:val="24"/>
          <w:lang w:val="ru-RU"/>
        </w:rPr>
        <w:t xml:space="preserve"> </w:t>
      </w:r>
      <w:r w:rsidRPr="006C0A78">
        <w:rPr>
          <w:sz w:val="24"/>
          <w:szCs w:val="24"/>
          <w:lang w:val="ru-RU"/>
        </w:rPr>
        <w:t>ДИМ – димедрол в дозе 1 мг/кг; НИК- никотин в дозе 0,3 мг/кг.</w:t>
      </w:r>
    </w:p>
    <w:p w:rsidR="00AC033A" w:rsidRDefault="00AC033A" w:rsidP="00AC033A">
      <w:pPr>
        <w:spacing w:line="360" w:lineRule="auto"/>
        <w:ind w:firstLine="709"/>
        <w:rPr>
          <w:sz w:val="24"/>
          <w:lang w:val="ru-RU"/>
        </w:rPr>
      </w:pPr>
    </w:p>
    <w:p w:rsidR="004E6571" w:rsidRPr="004E6571" w:rsidRDefault="004E6571" w:rsidP="004E6571">
      <w:pPr>
        <w:pStyle w:val="Heading3"/>
        <w:numPr>
          <w:ilvl w:val="0"/>
          <w:numId w:val="1"/>
        </w:numPr>
        <w:spacing w:before="0" w:line="360" w:lineRule="auto"/>
        <w:rPr>
          <w:rFonts w:ascii="Times New Roman" w:hAnsi="Times New Roman"/>
          <w:color w:val="auto"/>
          <w:sz w:val="24"/>
          <w:szCs w:val="28"/>
          <w:lang w:val="ru-RU"/>
        </w:rPr>
      </w:pPr>
      <w:bookmarkStart w:id="6" w:name="_Toc473556930"/>
      <w:r w:rsidRPr="004E6571">
        <w:rPr>
          <w:rFonts w:ascii="Times New Roman" w:hAnsi="Times New Roman"/>
          <w:color w:val="auto"/>
          <w:sz w:val="24"/>
          <w:szCs w:val="28"/>
          <w:lang w:val="ru-RU"/>
        </w:rPr>
        <w:t>Исследование действия ряда синтетических и природных соединений на способность повышать устойчивость  производящих инсулин островковых бета-клеток к токсическому действию цитокинов.</w:t>
      </w:r>
      <w:bookmarkEnd w:id="6"/>
      <w:r w:rsidRPr="004E6571">
        <w:rPr>
          <w:rFonts w:ascii="Times New Roman" w:hAnsi="Times New Roman"/>
          <w:color w:val="auto"/>
          <w:sz w:val="24"/>
          <w:szCs w:val="28"/>
          <w:lang w:val="ru-RU"/>
        </w:rPr>
        <w:t xml:space="preserve">  </w:t>
      </w:r>
    </w:p>
    <w:p w:rsidR="004E6571" w:rsidRPr="004E6571" w:rsidRDefault="004E6571" w:rsidP="004E6571">
      <w:pPr>
        <w:spacing w:line="360" w:lineRule="auto"/>
        <w:ind w:firstLine="709"/>
        <w:rPr>
          <w:sz w:val="24"/>
          <w:lang w:val="ru-RU"/>
        </w:rPr>
      </w:pPr>
      <w:r w:rsidRPr="004E6571">
        <w:rPr>
          <w:sz w:val="24"/>
          <w:lang w:val="ru-RU"/>
        </w:rPr>
        <w:t xml:space="preserve">Известно, что  гибель бета-клеток при  аутоиммунном диабете обусловлено действием про-воспалительных цитокинов (интерферон-гамма, интерлейкин-1, фактор некроза опухолей). </w:t>
      </w:r>
    </w:p>
    <w:p w:rsidR="004E6571" w:rsidRDefault="004E6571" w:rsidP="004E6571">
      <w:pPr>
        <w:spacing w:line="360" w:lineRule="auto"/>
        <w:ind w:firstLine="709"/>
        <w:rPr>
          <w:sz w:val="24"/>
          <w:lang w:val="ru-RU"/>
        </w:rPr>
      </w:pPr>
      <w:r w:rsidRPr="004E6571">
        <w:rPr>
          <w:sz w:val="24"/>
          <w:lang w:val="ru-RU"/>
        </w:rPr>
        <w:t xml:space="preserve">По нашим данным  природный терпеноид брусатол полностью блокирует ответ бета-клеток на про-воспалительные цитокины. Брусатол предотвращает гибель клеток, подавляет активацию NADPH оксидазы, индукцию синтазы окиси азота (iNOS) и последующую генерацию активных форм кислорода и азота, происходящие в бета-клетках при инкубации с про-воспалительными цитокинами IL-1β и IFNγ. Кроме того,  брусатол восстанавливает вызванные цитокинами нарушения секреции инсулина. Мы показали, что ингибирующее </w:t>
      </w:r>
      <w:r w:rsidRPr="004E6571">
        <w:rPr>
          <w:sz w:val="24"/>
          <w:lang w:val="ru-RU"/>
        </w:rPr>
        <w:lastRenderedPageBreak/>
        <w:t>действие брусатола на активацию экспрессии iNOS в бета-клетках под действием IL-1β и IFNγ опосредовано посттранскрипционным механизмом. По нашим предварительным данным, действие брусатола основан на ингибировании фактора инициации трансляции eIF5A.</w:t>
      </w:r>
    </w:p>
    <w:p w:rsidR="004E6571" w:rsidRDefault="004E6571" w:rsidP="00AC033A">
      <w:pPr>
        <w:spacing w:line="360" w:lineRule="auto"/>
        <w:ind w:firstLine="709"/>
        <w:rPr>
          <w:sz w:val="24"/>
          <w:lang w:val="ru-RU"/>
        </w:rPr>
      </w:pPr>
    </w:p>
    <w:p w:rsidR="007336BD" w:rsidRPr="007336BD" w:rsidRDefault="007336BD" w:rsidP="007336BD">
      <w:pPr>
        <w:pStyle w:val="Heading3"/>
        <w:numPr>
          <w:ilvl w:val="0"/>
          <w:numId w:val="1"/>
        </w:numPr>
        <w:spacing w:before="0" w:line="360" w:lineRule="auto"/>
        <w:rPr>
          <w:rFonts w:ascii="Times New Roman" w:hAnsi="Times New Roman"/>
          <w:color w:val="auto"/>
          <w:sz w:val="24"/>
          <w:szCs w:val="28"/>
          <w:lang w:val="ru-RU"/>
        </w:rPr>
      </w:pPr>
      <w:bookmarkStart w:id="7" w:name="_Toc473556931"/>
      <w:r>
        <w:rPr>
          <w:rFonts w:ascii="Times New Roman" w:hAnsi="Times New Roman"/>
          <w:color w:val="auto"/>
          <w:sz w:val="24"/>
          <w:szCs w:val="28"/>
          <w:lang w:val="ru-RU"/>
        </w:rPr>
        <w:t>Изучение</w:t>
      </w:r>
      <w:r w:rsidRPr="007336BD">
        <w:rPr>
          <w:rFonts w:ascii="Times New Roman" w:hAnsi="Times New Roman"/>
          <w:color w:val="auto"/>
          <w:sz w:val="24"/>
          <w:szCs w:val="28"/>
          <w:lang w:val="ru-RU"/>
        </w:rPr>
        <w:t xml:space="preserve"> коморбидности при хронических дерматозах и разработка алгоритмов фармакотерапии, с учетом полученных результатов</w:t>
      </w:r>
      <w:bookmarkEnd w:id="7"/>
    </w:p>
    <w:p w:rsidR="007336BD" w:rsidRDefault="007336BD" w:rsidP="007336BD">
      <w:pPr>
        <w:autoSpaceDE w:val="0"/>
        <w:autoSpaceDN w:val="0"/>
        <w:adjustRightInd w:val="0"/>
        <w:spacing w:line="360" w:lineRule="auto"/>
        <w:ind w:firstLine="709"/>
        <w:rPr>
          <w:iCs/>
          <w:sz w:val="24"/>
          <w:szCs w:val="28"/>
          <w:lang w:val="ru-RU"/>
        </w:rPr>
      </w:pPr>
      <w:r w:rsidRPr="007336BD">
        <w:rPr>
          <w:iCs/>
          <w:sz w:val="24"/>
          <w:szCs w:val="28"/>
          <w:lang w:val="ru-RU"/>
        </w:rPr>
        <w:t>Исследование полиморфных вариантов генов предрасположенности к паническому расстройству при псориазе</w:t>
      </w:r>
      <w:r>
        <w:rPr>
          <w:iCs/>
          <w:sz w:val="24"/>
          <w:szCs w:val="28"/>
          <w:lang w:val="ru-RU"/>
        </w:rPr>
        <w:t xml:space="preserve"> </w:t>
      </w:r>
      <w:r w:rsidRPr="007336BD">
        <w:rPr>
          <w:iCs/>
          <w:sz w:val="24"/>
          <w:szCs w:val="28"/>
          <w:lang w:val="ru-RU"/>
        </w:rPr>
        <w:t>показало возможность вовлеченности дофаминергической системы в развитие псориаза. Другие исследования и клинические данные также отмечают нарушения в организме псориатического больного, которые связаны с этой системой. Так как исследований в этом направлении с данной нейромедиаторной системой практически не проводилось, ещё предстоит определить все возможные биохимические, сигнальные пути в пределах этой системы, сравнить их с полученными данными по другим системам, чтобы получить полную картину молекулярных механизмов возникновения данного дерматологического заболевания, что может способствовать разработке совершенных методов диагностики и терапии псориаза.</w:t>
      </w:r>
    </w:p>
    <w:p w:rsidR="007336BD" w:rsidRDefault="007336BD" w:rsidP="007336BD">
      <w:pPr>
        <w:autoSpaceDE w:val="0"/>
        <w:autoSpaceDN w:val="0"/>
        <w:adjustRightInd w:val="0"/>
        <w:spacing w:line="360" w:lineRule="auto"/>
        <w:ind w:firstLine="709"/>
        <w:rPr>
          <w:iCs/>
          <w:sz w:val="24"/>
          <w:szCs w:val="28"/>
          <w:lang w:val="ru-RU"/>
        </w:rPr>
      </w:pPr>
      <w:r>
        <w:rPr>
          <w:iCs/>
          <w:sz w:val="24"/>
          <w:szCs w:val="28"/>
          <w:lang w:val="ru-RU"/>
        </w:rPr>
        <w:t>В рамках работы по о</w:t>
      </w:r>
      <w:r w:rsidRPr="007336BD">
        <w:rPr>
          <w:iCs/>
          <w:sz w:val="24"/>
          <w:szCs w:val="28"/>
          <w:lang w:val="ru-RU"/>
        </w:rPr>
        <w:t>птимизаци</w:t>
      </w:r>
      <w:r>
        <w:rPr>
          <w:iCs/>
          <w:sz w:val="24"/>
          <w:szCs w:val="28"/>
          <w:lang w:val="ru-RU"/>
        </w:rPr>
        <w:t>и</w:t>
      </w:r>
      <w:r w:rsidRPr="007336BD">
        <w:rPr>
          <w:iCs/>
          <w:sz w:val="24"/>
          <w:szCs w:val="28"/>
          <w:lang w:val="ru-RU"/>
        </w:rPr>
        <w:t xml:space="preserve"> терапии тяжелых форм псориаза, с</w:t>
      </w:r>
      <w:r>
        <w:rPr>
          <w:iCs/>
          <w:sz w:val="24"/>
          <w:szCs w:val="28"/>
          <w:lang w:val="ru-RU"/>
        </w:rPr>
        <w:t xml:space="preserve"> учетом сопутствующей патологии, </w:t>
      </w:r>
      <w:r w:rsidRPr="007336BD">
        <w:rPr>
          <w:iCs/>
          <w:sz w:val="24"/>
          <w:szCs w:val="28"/>
          <w:lang w:val="ru-RU"/>
        </w:rPr>
        <w:t xml:space="preserve">разработаны алгоритмы терапии псориаза, с учетом данных проведенного биоинформационного анализа. В комплексную терапию включен Адеметионин, ранее не применявшийся в лечение данной патологии. Разработана схема сочетанной терапии псориаза и поражений гепатобилиарной системы с включением плазмафереза. Разработан алгоритм обследования и терапии пациентов с псориазом и кардиоваскулярными нарушениями. </w:t>
      </w:r>
      <w:r>
        <w:rPr>
          <w:iCs/>
          <w:sz w:val="24"/>
          <w:szCs w:val="28"/>
          <w:lang w:val="ru-RU"/>
        </w:rPr>
        <w:t xml:space="preserve"> </w:t>
      </w:r>
    </w:p>
    <w:p w:rsidR="007336BD" w:rsidRPr="00B95396" w:rsidRDefault="007336BD" w:rsidP="00AC033A">
      <w:pPr>
        <w:spacing w:line="360" w:lineRule="auto"/>
        <w:ind w:firstLine="709"/>
        <w:rPr>
          <w:sz w:val="24"/>
          <w:lang w:val="ru-RU"/>
        </w:rPr>
      </w:pPr>
    </w:p>
    <w:p w:rsidR="007336BD" w:rsidRPr="00B95396" w:rsidRDefault="00B95396" w:rsidP="00B95396">
      <w:pPr>
        <w:pStyle w:val="Heading3"/>
        <w:numPr>
          <w:ilvl w:val="0"/>
          <w:numId w:val="1"/>
        </w:numPr>
        <w:spacing w:before="0" w:line="360" w:lineRule="auto"/>
        <w:rPr>
          <w:rFonts w:ascii="Times New Roman" w:hAnsi="Times New Roman"/>
          <w:color w:val="auto"/>
          <w:sz w:val="24"/>
          <w:szCs w:val="28"/>
          <w:lang w:val="ru-RU"/>
        </w:rPr>
      </w:pPr>
      <w:bookmarkStart w:id="8" w:name="_Toc473556932"/>
      <w:r w:rsidRPr="00B95396">
        <w:rPr>
          <w:rFonts w:ascii="Times New Roman" w:hAnsi="Times New Roman"/>
          <w:color w:val="auto"/>
          <w:sz w:val="24"/>
          <w:szCs w:val="28"/>
          <w:lang w:val="ru-RU"/>
        </w:rPr>
        <w:t>Сравнительное исследование связи структуры питания с частотой рака молочной железы</w:t>
      </w:r>
      <w:bookmarkEnd w:id="8"/>
    </w:p>
    <w:p w:rsidR="007336BD" w:rsidRPr="007336BD" w:rsidRDefault="007336BD" w:rsidP="007336BD">
      <w:pPr>
        <w:spacing w:line="360" w:lineRule="auto"/>
        <w:ind w:firstLine="709"/>
        <w:rPr>
          <w:sz w:val="24"/>
          <w:lang w:val="ru-RU"/>
        </w:rPr>
      </w:pPr>
      <w:r w:rsidRPr="007336BD">
        <w:rPr>
          <w:sz w:val="24"/>
          <w:lang w:val="ru-RU"/>
        </w:rPr>
        <w:t xml:space="preserve">Цель настоящего исследования – выяснить, чем различается структура питания (СП, Dietary patterns) в странах с высокой и низкой частотой РМЖ. </w:t>
      </w:r>
    </w:p>
    <w:p w:rsidR="007336BD" w:rsidRPr="007336BD" w:rsidRDefault="007336BD" w:rsidP="007336BD">
      <w:pPr>
        <w:spacing w:line="360" w:lineRule="auto"/>
        <w:ind w:firstLine="709"/>
        <w:rPr>
          <w:sz w:val="24"/>
          <w:lang w:val="ru-RU"/>
        </w:rPr>
      </w:pPr>
      <w:r w:rsidRPr="007336BD">
        <w:rPr>
          <w:sz w:val="24"/>
          <w:lang w:val="ru-RU"/>
        </w:rPr>
        <w:t xml:space="preserve">Сведения о заболеваемости РМЖ в 160 странах мира мы получили из базы GLOBOCAN за 2008 г. </w:t>
      </w:r>
      <w:r w:rsidR="00206039">
        <w:rPr>
          <w:sz w:val="24"/>
          <w:lang w:val="ru-RU"/>
        </w:rPr>
        <w:t>(14)</w:t>
      </w:r>
      <w:r w:rsidRPr="007336BD">
        <w:rPr>
          <w:sz w:val="24"/>
          <w:lang w:val="ru-RU"/>
        </w:rPr>
        <w:t>. Показатели уровня потребления продуктов и нутриентов (53 вида) для каждой страны – из базы FAO за 1990–1995 и 2003–2005 гг.</w:t>
      </w:r>
      <w:r w:rsidR="00206039">
        <w:rPr>
          <w:sz w:val="24"/>
          <w:lang w:val="ru-RU"/>
        </w:rPr>
        <w:t xml:space="preserve"> (15)</w:t>
      </w:r>
      <w:r w:rsidRPr="007336BD">
        <w:rPr>
          <w:sz w:val="24"/>
          <w:lang w:val="ru-RU"/>
        </w:rPr>
        <w:t xml:space="preserve">. Структуру </w:t>
      </w:r>
      <w:r w:rsidRPr="007336BD">
        <w:rPr>
          <w:sz w:val="24"/>
          <w:lang w:val="ru-RU"/>
        </w:rPr>
        <w:lastRenderedPageBreak/>
        <w:t>питания в разных странах представляли в виде общего суточного уровня потребления (ОУП, г/чел./день), а также в виде блоков продуктов, объединенных общим источником происхождения (г/чел./день): “продукты животных”, “зерна, овощи”, “фрукты, напитки”, “алкогольные напитки”. Также использовали блоки “Нутриенты животных продуктов” (оценивали в процентах): ЭНЕРГИЯ, БЕЛКИ, ЖИРЫ и “Полные нутриенты” (в процентах): УГЛЕВОДЫ, БЕЛКИ, ЖИРЫ. Также при анализе СП использовали по отдельности компоненты ЭНЕРГИЯ (ккал/чел/день), БЕЛКИ и ЖИРЫ (г/чел./день).</w:t>
      </w:r>
    </w:p>
    <w:p w:rsidR="007336BD" w:rsidRPr="007336BD" w:rsidRDefault="007336BD" w:rsidP="007336BD">
      <w:pPr>
        <w:spacing w:line="360" w:lineRule="auto"/>
        <w:ind w:firstLine="709"/>
        <w:rPr>
          <w:sz w:val="24"/>
          <w:lang w:val="ru-RU"/>
        </w:rPr>
      </w:pPr>
      <w:r w:rsidRPr="007336BD">
        <w:rPr>
          <w:sz w:val="24"/>
          <w:lang w:val="ru-RU"/>
        </w:rPr>
        <w:t xml:space="preserve"> Для характеристики социальных условий стран использовали Индекс развития человеческого потенциала (ИРЧП) и валовой внутренний продукт (ВВП) на душу населения (в долл. США)</w:t>
      </w:r>
      <w:r w:rsidR="00206039">
        <w:rPr>
          <w:sz w:val="24"/>
          <w:lang w:val="ru-RU"/>
        </w:rPr>
        <w:t xml:space="preserve"> (16)</w:t>
      </w:r>
      <w:r w:rsidRPr="007336BD">
        <w:rPr>
          <w:sz w:val="24"/>
          <w:lang w:val="ru-RU"/>
        </w:rPr>
        <w:t xml:space="preserve">. О географическом положении стран судили по широте </w:t>
      </w:r>
      <w:r w:rsidR="00206039">
        <w:rPr>
          <w:sz w:val="24"/>
          <w:lang w:val="ru-RU"/>
        </w:rPr>
        <w:t>(17)</w:t>
      </w:r>
      <w:r w:rsidRPr="007336BD">
        <w:rPr>
          <w:sz w:val="24"/>
          <w:lang w:val="ru-RU"/>
        </w:rPr>
        <w:t xml:space="preserve">. В качестве предикторов метаболического синдрома (МС) использовали количество женщин в популяции (в процентах) с индексом массы тела (ИМТ) ≥ 25 кг/м2 и уровнем холестерина крови (УХл) ≥ 5.0 ммоль/л </w:t>
      </w:r>
      <w:r w:rsidR="00206039">
        <w:rPr>
          <w:sz w:val="24"/>
          <w:lang w:val="ru-RU"/>
        </w:rPr>
        <w:t>(18)</w:t>
      </w:r>
      <w:r w:rsidRPr="007336BD">
        <w:rPr>
          <w:sz w:val="24"/>
          <w:lang w:val="ru-RU"/>
        </w:rPr>
        <w:t xml:space="preserve">. </w:t>
      </w:r>
    </w:p>
    <w:p w:rsidR="007336BD" w:rsidRPr="007336BD" w:rsidRDefault="007336BD" w:rsidP="007336BD">
      <w:pPr>
        <w:spacing w:line="360" w:lineRule="auto"/>
        <w:ind w:firstLine="709"/>
        <w:rPr>
          <w:sz w:val="24"/>
          <w:lang w:val="ru-RU"/>
        </w:rPr>
      </w:pPr>
      <w:r w:rsidRPr="007336BD">
        <w:rPr>
          <w:sz w:val="24"/>
          <w:lang w:val="ru-RU"/>
        </w:rPr>
        <w:t>На первом этапе работы мы исследовали СП в двух группах стран, различающихся по средней частоте заболеваемости РМЖ.</w:t>
      </w:r>
      <w:r w:rsidR="00282B3F">
        <w:rPr>
          <w:sz w:val="24"/>
          <w:lang w:val="ru-RU"/>
        </w:rPr>
        <w:t xml:space="preserve"> </w:t>
      </w:r>
      <w:r w:rsidRPr="007336BD">
        <w:rPr>
          <w:sz w:val="24"/>
          <w:lang w:val="ru-RU"/>
        </w:rPr>
        <w:t>Мы предположили, если в этих группах стран будут сходные социальные и географическими условия, то различия в диетах этих стран можно будет рассматривать как факторы риска РМЖ. Для этого выбрали по 30 стран в каждой группе счастотой РМЖ 73 чел./100 тыс. (группа 1</w:t>
      </w:r>
      <w:r w:rsidR="00BA608C">
        <w:rPr>
          <w:sz w:val="24"/>
          <w:lang w:val="ru-RU"/>
        </w:rPr>
        <w:t>) и 46 чел./100 тыс. (группа 2)</w:t>
      </w:r>
      <w:r w:rsidRPr="007336BD">
        <w:rPr>
          <w:sz w:val="24"/>
          <w:lang w:val="ru-RU"/>
        </w:rPr>
        <w:t>.</w:t>
      </w:r>
    </w:p>
    <w:p w:rsidR="007336BD" w:rsidRPr="007336BD" w:rsidRDefault="007336BD" w:rsidP="007336BD">
      <w:pPr>
        <w:spacing w:line="360" w:lineRule="auto"/>
        <w:ind w:firstLine="709"/>
        <w:rPr>
          <w:sz w:val="24"/>
          <w:lang w:val="ru-RU"/>
        </w:rPr>
      </w:pPr>
      <w:r w:rsidRPr="007336BD">
        <w:rPr>
          <w:sz w:val="24"/>
          <w:lang w:val="ru-RU"/>
        </w:rPr>
        <w:t>Показатели ИРЧП, ВВП и географическая широта стран группы 1 не отличались от стран группы   с</w:t>
      </w:r>
      <w:r w:rsidR="00BA608C">
        <w:rPr>
          <w:sz w:val="24"/>
          <w:lang w:val="ru-RU"/>
        </w:rPr>
        <w:t xml:space="preserve"> </w:t>
      </w:r>
      <w:r w:rsidRPr="007336BD">
        <w:rPr>
          <w:sz w:val="24"/>
          <w:lang w:val="ru-RU"/>
        </w:rPr>
        <w:t>учетом поправки Бонферрони. Показатели ОУП и ЭНЕРГИЯ в этих групп</w:t>
      </w:r>
      <w:r w:rsidR="00BA608C">
        <w:rPr>
          <w:sz w:val="24"/>
          <w:lang w:val="ru-RU"/>
        </w:rPr>
        <w:t>ах стран также были одинаковыми</w:t>
      </w:r>
      <w:r w:rsidRPr="007336BD">
        <w:rPr>
          <w:sz w:val="24"/>
          <w:lang w:val="ru-RU"/>
        </w:rPr>
        <w:t>. Мы установили, что в странах группы 1 по сравнению со странами группы 2 в 1.2 раза выше уровни потребления блока “продукты животных” и в 2.6 раза выше – “алкогольные напитки”, в 1.2 раза ниже уровни п</w:t>
      </w:r>
      <w:r w:rsidR="00BA608C">
        <w:rPr>
          <w:sz w:val="24"/>
          <w:lang w:val="ru-RU"/>
        </w:rPr>
        <w:t>отребления блока “зерна, овощи”</w:t>
      </w:r>
      <w:r w:rsidRPr="007336BD">
        <w:rPr>
          <w:sz w:val="24"/>
          <w:lang w:val="ru-RU"/>
        </w:rPr>
        <w:t>, в 1.3 раза выше показатели ЭНЕРГИЯ, БЕЛКИ и ЖИРЫ блока “Нут</w:t>
      </w:r>
      <w:r w:rsidR="00BA608C">
        <w:rPr>
          <w:sz w:val="24"/>
          <w:lang w:val="ru-RU"/>
        </w:rPr>
        <w:t>риенты животной пищи”</w:t>
      </w:r>
      <w:r w:rsidRPr="007336BD">
        <w:rPr>
          <w:sz w:val="24"/>
          <w:lang w:val="ru-RU"/>
        </w:rPr>
        <w:t>. Также мы обнаружили, что в группе 1 содержание показателя УГЛЕВОДЫ в блоке “Полные нутриенты” в 1.1 раза ниже, а ЖИРЫ в 1.1 раза выше, чем в странах группы 2. Уровень параметра БЕЛКИ блока “Полные нутриенты” не различа</w:t>
      </w:r>
      <w:r w:rsidR="00BA608C">
        <w:rPr>
          <w:sz w:val="24"/>
          <w:lang w:val="ru-RU"/>
        </w:rPr>
        <w:t>лся в странах исследуемых групп</w:t>
      </w:r>
      <w:r w:rsidRPr="007336BD">
        <w:rPr>
          <w:sz w:val="24"/>
          <w:lang w:val="ru-RU"/>
        </w:rPr>
        <w:t>. В странах группы 1 уровни потребления красного мяса, цельного молока, сыра, кофе и вина были в 1.5–2 раза выше, а риса и лука – в 1.5–2 ра</w:t>
      </w:r>
      <w:r w:rsidR="00BA608C">
        <w:rPr>
          <w:sz w:val="24"/>
          <w:lang w:val="ru-RU"/>
        </w:rPr>
        <w:t>за ниже, чем в странах группы 2</w:t>
      </w:r>
      <w:r w:rsidRPr="007336BD">
        <w:rPr>
          <w:sz w:val="24"/>
          <w:lang w:val="ru-RU"/>
        </w:rPr>
        <w:t>. В популяциях группы 1 было на 12% бо</w:t>
      </w:r>
      <w:r w:rsidR="00BA608C">
        <w:rPr>
          <w:sz w:val="24"/>
          <w:lang w:val="ru-RU"/>
        </w:rPr>
        <w:t>льше женщин с УХл ≥ 5.0 ммоль/л</w:t>
      </w:r>
      <w:r w:rsidRPr="007336BD">
        <w:rPr>
          <w:sz w:val="24"/>
          <w:lang w:val="ru-RU"/>
        </w:rPr>
        <w:t>. Не установлено значимых различий исследуемых показателей питания между 1990–1993 и 2003–2005 гг.</w:t>
      </w:r>
    </w:p>
    <w:p w:rsidR="007336BD" w:rsidRPr="007336BD" w:rsidRDefault="007336BD" w:rsidP="007336BD">
      <w:pPr>
        <w:spacing w:line="360" w:lineRule="auto"/>
        <w:ind w:firstLine="709"/>
        <w:rPr>
          <w:sz w:val="24"/>
          <w:lang w:val="ru-RU"/>
        </w:rPr>
      </w:pPr>
      <w:r w:rsidRPr="007336BD">
        <w:rPr>
          <w:sz w:val="24"/>
          <w:lang w:val="ru-RU"/>
        </w:rPr>
        <w:lastRenderedPageBreak/>
        <w:t xml:space="preserve"> На втором этапе работы мы провели сравнительное исследование СП стран с высокой частотой заболеваемости РМЖ и стран Средиземноморья, у кот</w:t>
      </w:r>
      <w:r w:rsidR="00BA608C">
        <w:rPr>
          <w:sz w:val="24"/>
          <w:lang w:val="ru-RU"/>
        </w:rPr>
        <w:t>орых частота РМЖ оказалась ниже</w:t>
      </w:r>
      <w:r w:rsidRPr="007336BD">
        <w:rPr>
          <w:sz w:val="24"/>
          <w:lang w:val="ru-RU"/>
        </w:rPr>
        <w:t>. В странах группы 1 частота РМЖ составила 76 чел./100 тыс. (30 стран). В группе 2 – 51 чел./100 тыс. (24 страны Средиземномор</w:t>
      </w:r>
      <w:r w:rsidR="00BA608C">
        <w:rPr>
          <w:sz w:val="24"/>
          <w:lang w:val="ru-RU"/>
        </w:rPr>
        <w:t>ья</w:t>
      </w:r>
      <w:r w:rsidRPr="007336BD">
        <w:rPr>
          <w:sz w:val="24"/>
          <w:lang w:val="ru-RU"/>
        </w:rPr>
        <w:t>).</w:t>
      </w:r>
    </w:p>
    <w:p w:rsidR="007336BD" w:rsidRPr="007336BD" w:rsidRDefault="007336BD" w:rsidP="007336BD">
      <w:pPr>
        <w:spacing w:line="360" w:lineRule="auto"/>
        <w:ind w:firstLine="709"/>
        <w:rPr>
          <w:sz w:val="24"/>
          <w:lang w:val="ru-RU"/>
        </w:rPr>
      </w:pPr>
      <w:r w:rsidRPr="007336BD">
        <w:rPr>
          <w:sz w:val="24"/>
          <w:lang w:val="ru-RU"/>
        </w:rPr>
        <w:t xml:space="preserve"> В обеих группах стран суточные ОУП продуктов и блока ЭНЕРГИЯ не различались. Географические широты стран обеих групп также не различались. Показатели ИРЧП и ВВП в странах группы 1 были достоверно выше, чем в странах группы 2. В группе 1 доля от ОУП блоков “продукты животных”, “фрукты, напитки” и “алкогольные напитки” были в 1.3–2.6 раз выше, а “зерна, овощи” – в 1.5 раза </w:t>
      </w:r>
      <w:r w:rsidR="00BA608C">
        <w:rPr>
          <w:sz w:val="24"/>
          <w:lang w:val="ru-RU"/>
        </w:rPr>
        <w:t>ниже показателей стран группы 2</w:t>
      </w:r>
      <w:r w:rsidRPr="007336BD">
        <w:rPr>
          <w:sz w:val="24"/>
          <w:lang w:val="ru-RU"/>
        </w:rPr>
        <w:t xml:space="preserve">. </w:t>
      </w:r>
    </w:p>
    <w:p w:rsidR="007336BD" w:rsidRPr="007336BD" w:rsidRDefault="007336BD" w:rsidP="007336BD">
      <w:pPr>
        <w:spacing w:line="360" w:lineRule="auto"/>
        <w:ind w:firstLine="709"/>
        <w:rPr>
          <w:sz w:val="24"/>
          <w:lang w:val="ru-RU"/>
        </w:rPr>
      </w:pPr>
      <w:r w:rsidRPr="007336BD">
        <w:rPr>
          <w:sz w:val="24"/>
          <w:lang w:val="ru-RU"/>
        </w:rPr>
        <w:t>В странах группы 1 процент потребления ЭНЕРГИИ, БЕЛКОВ и ЖИРОВ в блоке “Нутриенты животных продуктов” был в 1.5 раза выше такового стран группы 2, УГЛЕВОДОВ – в 1.2 раза ниже, ЖИРОВ – в 1.2 раза выше при сравнении с группой 2. Уровень БЕЛКОВ из блока “Полные нутриенты” не различался в сравниваемых группах. В странах группы 1 уровни потребления красного мяса, свинины, обезжиренного молока, сливочного масла, животного жира, апельсинов, яблок, кофе, сахара, крепкого алкоголя, вина и пива были в 1.5–2 раза выше, а пшеницы, томатов, лука, оливкового и подсолнечного масла, прочих овощей в 2–2.5 раза ниже</w:t>
      </w:r>
      <w:r w:rsidR="00BA608C">
        <w:rPr>
          <w:sz w:val="24"/>
          <w:lang w:val="ru-RU"/>
        </w:rPr>
        <w:t>, чем в странах Средиземноморья</w:t>
      </w:r>
      <w:r w:rsidRPr="007336BD">
        <w:rPr>
          <w:sz w:val="24"/>
          <w:lang w:val="ru-RU"/>
        </w:rPr>
        <w:t xml:space="preserve">. В популяциях стран группы 1 доля женщин с УХл ≥ 5.0 ммоль/л была в 1.2 раза выше, чем в группе 2 (58% от всей популяции). Статистических различий исследуемых показателей питания между 1990–1993 и 2003–2005 гг. мы также не выявили. </w:t>
      </w:r>
    </w:p>
    <w:p w:rsidR="007336BD" w:rsidRPr="007336BD" w:rsidRDefault="007336BD" w:rsidP="007336BD">
      <w:pPr>
        <w:spacing w:line="360" w:lineRule="auto"/>
        <w:ind w:firstLine="709"/>
        <w:rPr>
          <w:sz w:val="24"/>
          <w:lang w:val="ru-RU"/>
        </w:rPr>
      </w:pPr>
      <w:r w:rsidRPr="007336BD">
        <w:rPr>
          <w:sz w:val="24"/>
          <w:lang w:val="ru-RU"/>
        </w:rPr>
        <w:t>На заключительном этапе мы исследовали СП в странах Средиземноморья с высокой и н</w:t>
      </w:r>
      <w:r w:rsidR="00BA608C">
        <w:rPr>
          <w:sz w:val="24"/>
          <w:lang w:val="ru-RU"/>
        </w:rPr>
        <w:t>изкой частотой РМЖ</w:t>
      </w:r>
      <w:r w:rsidRPr="007336BD">
        <w:rPr>
          <w:sz w:val="24"/>
          <w:lang w:val="ru-RU"/>
        </w:rPr>
        <w:t>. Страны Средиземноморья были разделены на две группы по 12 стран в зависимости от частоты РМЖ. В группу 1 вошли страны с высокой частотой РМЖ – 68 чел./100 тыс., группу 2 составили страны с низкой частотой РМЖ – 34 чел./100 тыс.</w:t>
      </w:r>
    </w:p>
    <w:p w:rsidR="007336BD" w:rsidRPr="007336BD" w:rsidRDefault="007336BD" w:rsidP="007336BD">
      <w:pPr>
        <w:spacing w:line="360" w:lineRule="auto"/>
        <w:ind w:firstLine="709"/>
        <w:rPr>
          <w:sz w:val="24"/>
          <w:lang w:val="ru-RU"/>
        </w:rPr>
      </w:pPr>
      <w:r w:rsidRPr="007336BD">
        <w:rPr>
          <w:sz w:val="24"/>
          <w:lang w:val="ru-RU"/>
        </w:rPr>
        <w:t xml:space="preserve"> Показатели ИРЧП и ВВП в группе 1 были достоверно выше таковых стран группы 2. В то же время обе группы стран относились к высокоразвитым странам. Географические широты между группами значимо не различались. Уровень ОУП в группе достоверно выше такового группы 2. Уровень суточной полной ЭНЕРГИИ был одинако</w:t>
      </w:r>
      <w:r w:rsidR="00BA608C">
        <w:rPr>
          <w:sz w:val="24"/>
          <w:lang w:val="ru-RU"/>
        </w:rPr>
        <w:t xml:space="preserve">вым у жителей стран обеих групп. </w:t>
      </w:r>
      <w:r w:rsidRPr="007336BD">
        <w:rPr>
          <w:sz w:val="24"/>
          <w:lang w:val="ru-RU"/>
        </w:rPr>
        <w:t>Показатели СП в анализируемых группах различались. Уровни потребления блоков “продукты животных” и “алкогольные напитки” были в 1.5 и 3 раза выше, а “зерна, овощи” – в 1.4 раза ниже в странах гр</w:t>
      </w:r>
      <w:r w:rsidR="00BA608C">
        <w:rPr>
          <w:sz w:val="24"/>
          <w:lang w:val="ru-RU"/>
        </w:rPr>
        <w:t>уппы 1 по сравнению с группой 2</w:t>
      </w:r>
      <w:r w:rsidRPr="007336BD">
        <w:rPr>
          <w:sz w:val="24"/>
          <w:lang w:val="ru-RU"/>
        </w:rPr>
        <w:t>.</w:t>
      </w:r>
    </w:p>
    <w:p w:rsidR="007336BD" w:rsidRPr="007336BD" w:rsidRDefault="007336BD" w:rsidP="007336BD">
      <w:pPr>
        <w:spacing w:line="360" w:lineRule="auto"/>
        <w:ind w:firstLine="709"/>
        <w:rPr>
          <w:sz w:val="24"/>
          <w:lang w:val="ru-RU"/>
        </w:rPr>
      </w:pPr>
      <w:r w:rsidRPr="007336BD">
        <w:rPr>
          <w:sz w:val="24"/>
          <w:lang w:val="ru-RU"/>
        </w:rPr>
        <w:lastRenderedPageBreak/>
        <w:t xml:space="preserve"> Величина блока “Нутриенты животных продуктов” (ЭНЕРГИЯ, БЕЛКИ и ЖИРЫ) в группе 1 была в 1.7 раза выше, чем в группе 2. Содержание УГЛЕВОДОВ в блоке “Полные нутриенты” в группе 1 было в 1.2 раза ниже, БЕЛКОВ – в 1.1 выше, ЖИРОВ – в 1.5 раза выше, чем в группе 2 стран. Доля женщин в популяциях группы 1 с УХл ≥ ≥5.0 ммоль/л была в 1.3 раза выше, чем во 2 группе стран. </w:t>
      </w:r>
    </w:p>
    <w:p w:rsidR="007336BD" w:rsidRPr="007336BD" w:rsidRDefault="007336BD" w:rsidP="007336BD">
      <w:pPr>
        <w:spacing w:line="360" w:lineRule="auto"/>
        <w:ind w:firstLine="709"/>
        <w:rPr>
          <w:sz w:val="24"/>
          <w:lang w:val="ru-RU"/>
        </w:rPr>
      </w:pPr>
      <w:r w:rsidRPr="007336BD">
        <w:rPr>
          <w:sz w:val="24"/>
          <w:lang w:val="ru-RU"/>
        </w:rPr>
        <w:t>Таким образом, в странах Средиземноморья мы наблюдали различия в показателях СП, сходные с установленными на этапах 1 и 2 нашего исследования. Еще раз подчеркнем, что, несмотря на сходство социальных и географических условий, в сравниваемых группах стран имелись значительные различия в показателях СП и составе потребляемых нутриентов. В странах с высокой частотой РМЖ уровни потребления блоков “продукты животных” и “алкогольные напитки”, а также “Нутриенты животных продуктов” были в 1.5–2 раза выше, чем в странах с низкой частотой РМЖ, в том числе странах Средиземноморья.</w:t>
      </w:r>
    </w:p>
    <w:p w:rsidR="007336BD" w:rsidRPr="007336BD" w:rsidRDefault="007336BD" w:rsidP="007336BD">
      <w:pPr>
        <w:spacing w:line="360" w:lineRule="auto"/>
        <w:ind w:firstLine="709"/>
        <w:rPr>
          <w:sz w:val="24"/>
          <w:lang w:val="ru-RU"/>
        </w:rPr>
      </w:pPr>
      <w:r w:rsidRPr="007336BD">
        <w:rPr>
          <w:sz w:val="24"/>
          <w:lang w:val="ru-RU"/>
        </w:rPr>
        <w:t xml:space="preserve"> Сходную картину наблюдали при анализе блоков “зерна, овощи” и процент УГЛЕВОДОВ и ЖИРОВ – в странах с высокой частотой РМЖ. Первые два показатели были в 1.2–1.5 раза ниже, а третий – в 1.5 раза выше в странах с высокой частотой РМЖ. В странах с высокой частотой РМЖ было на 10–20% больше женщин с УХл ≥ 5.0 ммоль/л. Следует заметить, что как странах групп 1, так и в странах групп 2 доля женщин с ИМТ ≥ 25 кг/м2 была выше популяционного уровня (55%), что свидетельствует о признаках ожирения значительной части популяций. В странах с более высоким потреблением белковых и алкогольных продуктов, а также кофе и сахаристых продуктов наблюдалась более высокая частота РМЖ. </w:t>
      </w:r>
    </w:p>
    <w:p w:rsidR="007336BD" w:rsidRPr="007336BD" w:rsidRDefault="007336BD" w:rsidP="007336BD">
      <w:pPr>
        <w:spacing w:line="360" w:lineRule="auto"/>
        <w:ind w:firstLine="709"/>
        <w:rPr>
          <w:sz w:val="24"/>
          <w:lang w:val="ru-RU"/>
        </w:rPr>
      </w:pPr>
      <w:r w:rsidRPr="007336BD">
        <w:rPr>
          <w:sz w:val="24"/>
          <w:lang w:val="ru-RU"/>
        </w:rPr>
        <w:t>Результаты наших исследований позволяют сделать вывод о том, что СП оказывает мод</w:t>
      </w:r>
      <w:r w:rsidR="00136017">
        <w:rPr>
          <w:sz w:val="24"/>
          <w:lang w:val="ru-RU"/>
        </w:rPr>
        <w:t>ифицирующее влияние на риск РМЖ</w:t>
      </w:r>
      <w:r w:rsidRPr="007336BD">
        <w:rPr>
          <w:sz w:val="24"/>
          <w:lang w:val="ru-RU"/>
        </w:rPr>
        <w:t xml:space="preserve">. По-видимому, имеет место устойчивая адаптация питания к местным условиям флоры и фауны, а также генетические особенности метаболизма и этнические традиции питания, которые вносят свой вклад в эти различия. </w:t>
      </w:r>
    </w:p>
    <w:p w:rsidR="007336BD" w:rsidRDefault="007336BD" w:rsidP="007336BD">
      <w:pPr>
        <w:spacing w:line="360" w:lineRule="auto"/>
        <w:ind w:firstLine="709"/>
        <w:rPr>
          <w:sz w:val="24"/>
          <w:lang w:val="ru-RU"/>
        </w:rPr>
      </w:pPr>
      <w:r w:rsidRPr="007336BD">
        <w:rPr>
          <w:sz w:val="24"/>
          <w:lang w:val="ru-RU"/>
        </w:rPr>
        <w:t xml:space="preserve">Полученные данные позволяют сделать следующие итоговые выводы. В странах с высокой частотой РМЖ (76 чел./100 тыс.) состав СП: “продукты животных” – 30%, “зерна, овощи” – 37%, “фрукты, напитки” – 14%, “алкогольные напитки” – 13%, потребляемая ЭНЕРГИЯ – 3234 ккал/чел./день. В странах Средиземноморья с низкой частотой РМЖ (34 чел./100 тыс.): “продукты животных” – 24%, “зерна, овощи” – 63%, “фрукты, напитки” – 11%, “алкогольные напитки “ – 2.4%, ЭНЕРГИЯ – 3109 ккал/чел./день. Полученные данные </w:t>
      </w:r>
      <w:r w:rsidRPr="007336BD">
        <w:rPr>
          <w:sz w:val="24"/>
          <w:lang w:val="ru-RU"/>
        </w:rPr>
        <w:lastRenderedPageBreak/>
        <w:t>могут быть использованы для профилактики РМЖ путем снижения доли в СП “продуктов животных” и “алкогольных напитков” и увеличения доли “зерна, овощи”.</w:t>
      </w:r>
    </w:p>
    <w:p w:rsidR="007336BD" w:rsidRDefault="007336BD" w:rsidP="007336BD">
      <w:pPr>
        <w:spacing w:line="360" w:lineRule="auto"/>
        <w:ind w:firstLine="709"/>
        <w:rPr>
          <w:sz w:val="24"/>
          <w:lang w:val="ru-RU"/>
        </w:rPr>
      </w:pPr>
    </w:p>
    <w:p w:rsidR="00ED3DC2" w:rsidRPr="00FD466D" w:rsidRDefault="00ED3DC2" w:rsidP="00FD466D">
      <w:pPr>
        <w:pStyle w:val="Heading2"/>
        <w:spacing w:before="0" w:line="360" w:lineRule="auto"/>
        <w:rPr>
          <w:rFonts w:ascii="Times New Roman" w:hAnsi="Times New Roman"/>
          <w:color w:val="auto"/>
          <w:sz w:val="28"/>
          <w:lang w:val="ru-RU"/>
        </w:rPr>
      </w:pPr>
      <w:bookmarkStart w:id="9" w:name="_Toc473556933"/>
      <w:r w:rsidRPr="00FD466D">
        <w:rPr>
          <w:rFonts w:ascii="Times New Roman" w:hAnsi="Times New Roman"/>
          <w:color w:val="auto"/>
          <w:sz w:val="28"/>
          <w:lang w:val="ru-RU"/>
        </w:rPr>
        <w:t>Выводы</w:t>
      </w:r>
      <w:bookmarkEnd w:id="9"/>
    </w:p>
    <w:p w:rsidR="00AB4360" w:rsidRPr="00AB4360" w:rsidRDefault="00DE4677" w:rsidP="00AB4360">
      <w:pPr>
        <w:pStyle w:val="ListParagraph"/>
        <w:numPr>
          <w:ilvl w:val="0"/>
          <w:numId w:val="8"/>
        </w:numPr>
        <w:spacing w:line="360" w:lineRule="auto"/>
        <w:rPr>
          <w:sz w:val="24"/>
          <w:szCs w:val="24"/>
        </w:rPr>
      </w:pPr>
      <w:r w:rsidRPr="00AB4360">
        <w:rPr>
          <w:sz w:val="24"/>
          <w:szCs w:val="24"/>
        </w:rPr>
        <w:t>Сочетанное применение димедрола и никотина полностью устраняет у мышей экстрапирамидные расстройства, вызванные подпороговой дозой галоперидола и гистамин-соматостатиновым дисбалансом в мозгу.</w:t>
      </w:r>
    </w:p>
    <w:p w:rsidR="00B95396" w:rsidRDefault="00AB4360" w:rsidP="00AB4360">
      <w:pPr>
        <w:pStyle w:val="ListParagraph"/>
        <w:numPr>
          <w:ilvl w:val="0"/>
          <w:numId w:val="8"/>
        </w:numPr>
        <w:spacing w:line="360" w:lineRule="auto"/>
        <w:rPr>
          <w:sz w:val="24"/>
          <w:szCs w:val="24"/>
        </w:rPr>
      </w:pPr>
      <w:r w:rsidRPr="00AB4360">
        <w:rPr>
          <w:sz w:val="24"/>
          <w:szCs w:val="24"/>
        </w:rPr>
        <w:t>Сочетанное применение димедрола и никотина полностью устраняет у крыс экстрапирамидные расстройства, вызванные подпороговой дозой галоперидола  и игистамин-соматостатиновым дисбалансом в мозгу.</w:t>
      </w:r>
    </w:p>
    <w:p w:rsidR="00D61B0E" w:rsidRPr="00CD2EC9" w:rsidRDefault="00D61B0E" w:rsidP="00AB4360">
      <w:pPr>
        <w:pStyle w:val="ListParagraph"/>
        <w:numPr>
          <w:ilvl w:val="0"/>
          <w:numId w:val="8"/>
        </w:numPr>
        <w:spacing w:line="360" w:lineRule="auto"/>
        <w:rPr>
          <w:sz w:val="24"/>
          <w:szCs w:val="24"/>
        </w:rPr>
      </w:pPr>
      <w:r>
        <w:rPr>
          <w:sz w:val="24"/>
        </w:rPr>
        <w:t>И</w:t>
      </w:r>
      <w:r w:rsidRPr="004E6571">
        <w:rPr>
          <w:sz w:val="24"/>
        </w:rPr>
        <w:t>нгибирующее действие брусатола на активацию экспрессии iNOS в бета-клетках под действием IL-1β и IFNγ опосредовано посттранскрипционным механизмом</w:t>
      </w:r>
      <w:r>
        <w:rPr>
          <w:sz w:val="24"/>
        </w:rPr>
        <w:t>.</w:t>
      </w:r>
    </w:p>
    <w:p w:rsidR="00CD2EC9" w:rsidRDefault="00CD2EC9" w:rsidP="00AB4360">
      <w:pPr>
        <w:pStyle w:val="ListParagraph"/>
        <w:numPr>
          <w:ilvl w:val="0"/>
          <w:numId w:val="8"/>
        </w:numPr>
        <w:spacing w:line="360" w:lineRule="auto"/>
        <w:rPr>
          <w:sz w:val="24"/>
          <w:szCs w:val="24"/>
        </w:rPr>
      </w:pPr>
      <w:r w:rsidRPr="007336BD">
        <w:rPr>
          <w:iCs/>
          <w:sz w:val="24"/>
          <w:szCs w:val="28"/>
        </w:rPr>
        <w:t>Исследование полиморфных вариантов генов предрасположенности к паническому расстройству при псориазе</w:t>
      </w:r>
      <w:r>
        <w:rPr>
          <w:iCs/>
          <w:sz w:val="24"/>
          <w:szCs w:val="28"/>
        </w:rPr>
        <w:t xml:space="preserve"> </w:t>
      </w:r>
      <w:r w:rsidRPr="007336BD">
        <w:rPr>
          <w:iCs/>
          <w:sz w:val="24"/>
          <w:szCs w:val="28"/>
        </w:rPr>
        <w:t>показало возможность вовлеченности дофаминергической системы в развитие псориаза.</w:t>
      </w:r>
    </w:p>
    <w:p w:rsidR="00ED3DC2" w:rsidRPr="00AB4360" w:rsidRDefault="00B95396" w:rsidP="00AB4360">
      <w:pPr>
        <w:pStyle w:val="ListParagraph"/>
        <w:numPr>
          <w:ilvl w:val="0"/>
          <w:numId w:val="8"/>
        </w:numPr>
        <w:spacing w:line="360" w:lineRule="auto"/>
        <w:rPr>
          <w:sz w:val="24"/>
          <w:szCs w:val="24"/>
        </w:rPr>
      </w:pPr>
      <w:r w:rsidRPr="007336BD">
        <w:rPr>
          <w:sz w:val="24"/>
        </w:rPr>
        <w:t xml:space="preserve">В странах с высокой частотой РМЖ состав </w:t>
      </w:r>
      <w:r>
        <w:rPr>
          <w:sz w:val="24"/>
        </w:rPr>
        <w:t xml:space="preserve">структуры питания сдвинут в сторону меньшего потребления </w:t>
      </w:r>
      <w:r w:rsidRPr="007336BD">
        <w:rPr>
          <w:sz w:val="24"/>
        </w:rPr>
        <w:t>зерна</w:t>
      </w:r>
      <w:r>
        <w:rPr>
          <w:sz w:val="24"/>
        </w:rPr>
        <w:t xml:space="preserve"> и</w:t>
      </w:r>
      <w:r w:rsidRPr="007336BD">
        <w:rPr>
          <w:sz w:val="24"/>
        </w:rPr>
        <w:t xml:space="preserve"> овощ</w:t>
      </w:r>
      <w:r>
        <w:rPr>
          <w:sz w:val="24"/>
        </w:rPr>
        <w:t>ей и большего потребления алкогольных напитков по сравнению</w:t>
      </w:r>
      <w:r w:rsidRPr="007336BD">
        <w:rPr>
          <w:sz w:val="24"/>
        </w:rPr>
        <w:t xml:space="preserve"> </w:t>
      </w:r>
      <w:r>
        <w:rPr>
          <w:sz w:val="24"/>
        </w:rPr>
        <w:t xml:space="preserve">со странами </w:t>
      </w:r>
      <w:r w:rsidRPr="007336BD">
        <w:rPr>
          <w:sz w:val="24"/>
        </w:rPr>
        <w:t xml:space="preserve">с низкой частотой РМЖ. </w:t>
      </w:r>
      <w:r w:rsidR="00ED3DC2" w:rsidRPr="00AB4360">
        <w:rPr>
          <w:sz w:val="24"/>
          <w:szCs w:val="24"/>
        </w:rPr>
        <w:br w:type="page"/>
      </w:r>
    </w:p>
    <w:p w:rsidR="00ED3DC2" w:rsidRPr="009E4076" w:rsidRDefault="00ED3DC2" w:rsidP="00136017">
      <w:pPr>
        <w:pStyle w:val="Heading2"/>
        <w:pageBreakBefore/>
        <w:spacing w:after="120"/>
        <w:rPr>
          <w:rFonts w:ascii="Times New Roman" w:hAnsi="Times New Roman"/>
          <w:color w:val="auto"/>
          <w:sz w:val="28"/>
          <w:szCs w:val="24"/>
        </w:rPr>
      </w:pPr>
      <w:bookmarkStart w:id="10" w:name="_Toc473556934"/>
      <w:r w:rsidRPr="009E4076">
        <w:rPr>
          <w:rFonts w:ascii="Times New Roman" w:hAnsi="Times New Roman"/>
          <w:color w:val="auto"/>
          <w:sz w:val="28"/>
          <w:szCs w:val="24"/>
        </w:rPr>
        <w:lastRenderedPageBreak/>
        <w:t>Список использованных источников</w:t>
      </w:r>
      <w:bookmarkEnd w:id="10"/>
    </w:p>
    <w:p w:rsidR="00136017" w:rsidRDefault="00136017" w:rsidP="00136017">
      <w:pPr>
        <w:pStyle w:val="desc"/>
        <w:numPr>
          <w:ilvl w:val="0"/>
          <w:numId w:val="7"/>
        </w:numPr>
        <w:spacing w:before="0" w:beforeAutospacing="0" w:after="0" w:afterAutospacing="0" w:line="360" w:lineRule="auto"/>
        <w:ind w:left="714" w:hanging="357"/>
        <w:jc w:val="both"/>
        <w:rPr>
          <w:lang w:val="en-US"/>
        </w:rPr>
      </w:pPr>
      <w:r w:rsidRPr="00FE01B8">
        <w:rPr>
          <w:lang w:val="en-US"/>
        </w:rPr>
        <w:t>Zach H, Dirkx M, Pasman JW, Bloem BR, Helmich RC. The patient's perspective: The effect of levodopa on Parkinson symptoms. Parkinsonism Relat Disord. 2016. pii: S1353-8020(16)30460-6.</w:t>
      </w:r>
    </w:p>
    <w:p w:rsidR="00136017" w:rsidRDefault="00136017" w:rsidP="00136017">
      <w:pPr>
        <w:pStyle w:val="desc"/>
        <w:numPr>
          <w:ilvl w:val="0"/>
          <w:numId w:val="7"/>
        </w:numPr>
        <w:spacing w:before="0" w:beforeAutospacing="0" w:after="0" w:afterAutospacing="0" w:line="360" w:lineRule="auto"/>
        <w:ind w:left="714" w:hanging="357"/>
        <w:jc w:val="both"/>
        <w:rPr>
          <w:lang w:val="en-US"/>
        </w:rPr>
      </w:pPr>
      <w:r w:rsidRPr="00FE01B8">
        <w:rPr>
          <w:lang w:val="en-US"/>
        </w:rPr>
        <w:t xml:space="preserve">Dupont E, Christensen SE, Hansen AP, de Fine Olivarius B, Orskov H. Low cerebrospinal fluid somatostatin in Parkinson disease: an irreversible abnormality. Neurology. 1982;32(3):312–4 </w:t>
      </w:r>
    </w:p>
    <w:p w:rsidR="00136017" w:rsidRPr="00D5352D" w:rsidRDefault="00136017" w:rsidP="00136017">
      <w:pPr>
        <w:pStyle w:val="desc"/>
        <w:numPr>
          <w:ilvl w:val="0"/>
          <w:numId w:val="7"/>
        </w:numPr>
        <w:spacing w:before="0" w:beforeAutospacing="0" w:after="0" w:afterAutospacing="0" w:line="360" w:lineRule="auto"/>
        <w:ind w:left="714" w:hanging="357"/>
        <w:jc w:val="both"/>
        <w:rPr>
          <w:lang w:val="en-US"/>
        </w:rPr>
      </w:pPr>
      <w:r w:rsidRPr="00D5352D">
        <w:rPr>
          <w:lang w:val="en-US"/>
        </w:rPr>
        <w:t>Epelbaum J, Ruberg M, Moyse E, Javoy-Agid F, Dubois B, Agid Y. Somatostatin and dementia in Parkinson's disease. Brain Res. 1983;278(1-2):376–9</w:t>
      </w:r>
      <w:r>
        <w:rPr>
          <w:lang w:val="en-US"/>
        </w:rPr>
        <w:t>.</w:t>
      </w:r>
    </w:p>
    <w:p w:rsidR="00136017" w:rsidRPr="00D5352D" w:rsidRDefault="00136017" w:rsidP="00136017">
      <w:pPr>
        <w:pStyle w:val="desc"/>
        <w:numPr>
          <w:ilvl w:val="0"/>
          <w:numId w:val="7"/>
        </w:numPr>
        <w:spacing w:before="0" w:beforeAutospacing="0" w:after="0" w:afterAutospacing="0" w:line="360" w:lineRule="auto"/>
        <w:ind w:left="714" w:hanging="357"/>
        <w:jc w:val="both"/>
        <w:rPr>
          <w:lang w:val="en-US"/>
        </w:rPr>
      </w:pPr>
      <w:r w:rsidRPr="00D5352D">
        <w:rPr>
          <w:lang w:val="en-US"/>
        </w:rPr>
        <w:t>Masson H, Popescu I, Strubel D, Cramer H, Kuntzmann F. Somatostatin-like immunoreactivity in the cerebrospinal fluid of aged patients with Parkinson's disease. The effect of dopatherapy.</w:t>
      </w:r>
      <w:r w:rsidRPr="00FE01B8">
        <w:rPr>
          <w:lang w:val="en-US"/>
        </w:rPr>
        <w:t xml:space="preserve"> </w:t>
      </w:r>
      <w:r w:rsidRPr="00D5352D">
        <w:rPr>
          <w:lang w:val="en-US"/>
        </w:rPr>
        <w:t>J Am Geriatr Soc. 1990;38(1):19–24</w:t>
      </w:r>
    </w:p>
    <w:p w:rsidR="00136017" w:rsidRPr="00D5352D" w:rsidRDefault="00136017" w:rsidP="00136017">
      <w:pPr>
        <w:pStyle w:val="desc"/>
        <w:numPr>
          <w:ilvl w:val="0"/>
          <w:numId w:val="7"/>
        </w:numPr>
        <w:spacing w:before="0" w:beforeAutospacing="0" w:after="0" w:afterAutospacing="0" w:line="360" w:lineRule="auto"/>
        <w:ind w:left="714" w:hanging="357"/>
        <w:jc w:val="both"/>
        <w:rPr>
          <w:lang w:val="en-US"/>
        </w:rPr>
      </w:pPr>
      <w:r w:rsidRPr="00D5352D">
        <w:rPr>
          <w:lang w:val="en-US"/>
        </w:rPr>
        <w:t>Strittmatter M, Hamann GF, Strubel D, Cramer H, Schimrigk K. Somatostatin-like immunoreactivity, its molecular forms and monoaminergic metabolites in aged and demented patients with Parkinson's disease--effect of L-Dopa. J Neural Transm. 1996;103(5):591–602</w:t>
      </w:r>
      <w:r>
        <w:t>.</w:t>
      </w:r>
    </w:p>
    <w:p w:rsidR="00136017" w:rsidRPr="00FE01B8" w:rsidRDefault="00136017" w:rsidP="00136017">
      <w:pPr>
        <w:pStyle w:val="desc"/>
        <w:numPr>
          <w:ilvl w:val="0"/>
          <w:numId w:val="7"/>
        </w:numPr>
        <w:spacing w:before="0" w:beforeAutospacing="0" w:after="0" w:afterAutospacing="0" w:line="360" w:lineRule="auto"/>
        <w:ind w:left="714" w:hanging="357"/>
        <w:jc w:val="both"/>
        <w:rPr>
          <w:lang w:val="en-US"/>
        </w:rPr>
      </w:pPr>
      <w:r w:rsidRPr="00D5352D">
        <w:rPr>
          <w:lang w:val="en-US"/>
        </w:rPr>
        <w:t>Unger J, Weindl A, Ochs G, Struppler A. CSF somatostatin is elevated in patients with postzoster neuralgia. Neurology 1988;38(9):1423–7.</w:t>
      </w:r>
    </w:p>
    <w:p w:rsidR="00136017" w:rsidRPr="007336BD" w:rsidRDefault="00136017" w:rsidP="00136017">
      <w:pPr>
        <w:pStyle w:val="ListParagraph"/>
        <w:numPr>
          <w:ilvl w:val="0"/>
          <w:numId w:val="7"/>
        </w:numPr>
        <w:spacing w:line="360" w:lineRule="auto"/>
        <w:ind w:left="714" w:hanging="357"/>
        <w:jc w:val="left"/>
        <w:rPr>
          <w:sz w:val="24"/>
          <w:szCs w:val="24"/>
          <w:lang w:val="en-US"/>
        </w:rPr>
      </w:pPr>
      <w:r w:rsidRPr="007336BD">
        <w:rPr>
          <w:sz w:val="24"/>
          <w:szCs w:val="24"/>
          <w:lang w:val="en-US"/>
        </w:rPr>
        <w:t xml:space="preserve">The world Health Report Reducing Risks, Promoting Healthy Life. (2002) Geneva: World Health Organization, 2002. P. 1–19. </w:t>
      </w:r>
    </w:p>
    <w:p w:rsidR="00136017" w:rsidRPr="007336BD" w:rsidRDefault="00136017" w:rsidP="00136017">
      <w:pPr>
        <w:pStyle w:val="ListParagraph"/>
        <w:numPr>
          <w:ilvl w:val="0"/>
          <w:numId w:val="7"/>
        </w:numPr>
        <w:spacing w:line="360" w:lineRule="auto"/>
        <w:ind w:left="714" w:hanging="357"/>
        <w:rPr>
          <w:sz w:val="24"/>
          <w:szCs w:val="24"/>
          <w:lang w:val="en-US"/>
        </w:rPr>
      </w:pPr>
      <w:r w:rsidRPr="007336BD">
        <w:rPr>
          <w:sz w:val="24"/>
          <w:szCs w:val="24"/>
          <w:lang w:val="en-US"/>
        </w:rPr>
        <w:t xml:space="preserve">Link L.B., Canchola A.J., Bernstein L., Clarke Ch.A., Stram D.O. Ursin G., Horn-Ross P.L. Dieraty Patterns and Breast Cancer Risk in the California Teachers Study Cohort // Amer. J. Clin. Nutr. 2013. V. 98. № 6. P. 1524–1532.  doi 10.3945/ajcn.113.061184 </w:t>
      </w:r>
    </w:p>
    <w:p w:rsidR="00136017" w:rsidRPr="00C27990" w:rsidRDefault="00136017" w:rsidP="00136017">
      <w:pPr>
        <w:pStyle w:val="ListParagraph"/>
        <w:numPr>
          <w:ilvl w:val="0"/>
          <w:numId w:val="7"/>
        </w:numPr>
        <w:spacing w:line="360" w:lineRule="auto"/>
        <w:ind w:left="714" w:hanging="357"/>
        <w:rPr>
          <w:sz w:val="24"/>
          <w:szCs w:val="24"/>
          <w:lang w:val="en-US"/>
        </w:rPr>
      </w:pPr>
      <w:r w:rsidRPr="007336BD">
        <w:rPr>
          <w:sz w:val="24"/>
          <w:szCs w:val="24"/>
          <w:lang w:val="en-US"/>
        </w:rPr>
        <w:t xml:space="preserve">Willett W.C. Diet and Breast Cancer // J. Intern. </w:t>
      </w:r>
      <w:r w:rsidRPr="00C27990">
        <w:rPr>
          <w:sz w:val="24"/>
          <w:szCs w:val="24"/>
          <w:lang w:val="en-US"/>
        </w:rPr>
        <w:t>Med. 2001. V. 249. P. 395–411.</w:t>
      </w:r>
    </w:p>
    <w:p w:rsidR="00136017" w:rsidRPr="00C27990" w:rsidRDefault="00C27990" w:rsidP="00136017">
      <w:pPr>
        <w:pStyle w:val="ListParagraph"/>
        <w:numPr>
          <w:ilvl w:val="0"/>
          <w:numId w:val="7"/>
        </w:numPr>
        <w:spacing w:line="360" w:lineRule="auto"/>
        <w:ind w:left="714" w:hanging="357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</w:t>
      </w:r>
      <w:r w:rsidR="00136017" w:rsidRPr="007336BD">
        <w:rPr>
          <w:sz w:val="24"/>
          <w:szCs w:val="24"/>
          <w:lang w:val="en-US"/>
        </w:rPr>
        <w:t xml:space="preserve">Michels K.B., Mohllajee A.P., Roset-Bahmanyar E., Beehler G.P., Moysich K.B. Diet and Breast Cancer: a Review of the Prospective Observational Studies // Cancer. </w:t>
      </w:r>
      <w:r w:rsidR="00136017" w:rsidRPr="00C27990">
        <w:rPr>
          <w:sz w:val="24"/>
          <w:szCs w:val="24"/>
          <w:lang w:val="en-US"/>
        </w:rPr>
        <w:t xml:space="preserve">2007. V. 109. Suppl. P. 2712–2749. </w:t>
      </w:r>
    </w:p>
    <w:p w:rsidR="00136017" w:rsidRPr="00D5352D" w:rsidRDefault="00136017" w:rsidP="00136017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714" w:hanging="357"/>
        <w:rPr>
          <w:sz w:val="24"/>
          <w:szCs w:val="24"/>
        </w:rPr>
      </w:pPr>
      <w:r w:rsidRPr="00D5352D">
        <w:rPr>
          <w:sz w:val="24"/>
          <w:szCs w:val="24"/>
          <w:lang w:val="en-US"/>
        </w:rPr>
        <w:t>Fries JL, Murphy WA, Sueiras-Diaz J, Coy DH. Somatostatin antagonist analog increases</w:t>
      </w:r>
      <w:r w:rsidRPr="00D5352D">
        <w:rPr>
          <w:sz w:val="24"/>
          <w:szCs w:val="24"/>
          <w:lang w:val="en-US"/>
        </w:rPr>
        <w:br/>
        <w:t xml:space="preserve">GH, insulin, and glucagon release in the rat. </w:t>
      </w:r>
      <w:r w:rsidRPr="00D5352D">
        <w:rPr>
          <w:sz w:val="24"/>
          <w:szCs w:val="24"/>
        </w:rPr>
        <w:t>Peptides 1982;3(5):811–4.</w:t>
      </w:r>
    </w:p>
    <w:p w:rsidR="00136017" w:rsidRPr="00FE01B8" w:rsidRDefault="00136017" w:rsidP="00136017">
      <w:pPr>
        <w:pStyle w:val="desc"/>
        <w:numPr>
          <w:ilvl w:val="0"/>
          <w:numId w:val="7"/>
        </w:numPr>
        <w:spacing w:before="0" w:beforeAutospacing="0" w:after="0" w:afterAutospacing="0" w:line="360" w:lineRule="auto"/>
        <w:ind w:left="714" w:hanging="357"/>
        <w:jc w:val="both"/>
        <w:rPr>
          <w:lang w:val="en-US"/>
        </w:rPr>
      </w:pPr>
      <w:r w:rsidRPr="00D5352D">
        <w:rPr>
          <w:lang w:val="en-US"/>
        </w:rPr>
        <w:t>Barrios V, Rodriguez-Sanchez MN, Colas B, Arilla E. Effects of acute nicotine and mecamylamine administration on somatostatin concentration and binding in the rat brain.</w:t>
      </w:r>
      <w:r w:rsidRPr="00D5352D">
        <w:rPr>
          <w:lang w:val="en-US"/>
        </w:rPr>
        <w:br/>
        <w:t>Eur J Pharmacol. 1990;179(3):263-70</w:t>
      </w:r>
      <w:r>
        <w:rPr>
          <w:lang w:val="en-US"/>
        </w:rPr>
        <w:t>.</w:t>
      </w:r>
    </w:p>
    <w:p w:rsidR="00136017" w:rsidRPr="00D5352D" w:rsidRDefault="00136017" w:rsidP="00136017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714" w:hanging="357"/>
        <w:rPr>
          <w:sz w:val="24"/>
          <w:szCs w:val="24"/>
          <w:lang w:val="en-US"/>
        </w:rPr>
      </w:pPr>
      <w:r w:rsidRPr="00D5352D">
        <w:rPr>
          <w:sz w:val="24"/>
          <w:szCs w:val="24"/>
          <w:lang w:val="en-US"/>
        </w:rPr>
        <w:lastRenderedPageBreak/>
        <w:t>Ooka H, Fujita S, Yoshimoto E. Pituitary-thyroid activity and longevity in neonatally thyroxine-treated rats. Mech. Ageing Dev. 1983;22(2):113–20.</w:t>
      </w:r>
    </w:p>
    <w:p w:rsidR="00136017" w:rsidRPr="007336BD" w:rsidRDefault="00136017" w:rsidP="00136017">
      <w:pPr>
        <w:pStyle w:val="ListParagraph"/>
        <w:numPr>
          <w:ilvl w:val="0"/>
          <w:numId w:val="7"/>
        </w:numPr>
        <w:spacing w:line="360" w:lineRule="auto"/>
        <w:ind w:left="714" w:hanging="357"/>
        <w:rPr>
          <w:sz w:val="24"/>
          <w:szCs w:val="24"/>
          <w:lang w:val="en-US"/>
        </w:rPr>
      </w:pPr>
      <w:r w:rsidRPr="007336BD">
        <w:rPr>
          <w:sz w:val="24"/>
          <w:szCs w:val="24"/>
          <w:lang w:val="en-US"/>
        </w:rPr>
        <w:t xml:space="preserve">Ferlay J., Shin H.R., Bray F., Forman D., Mathers C., Parkin D.M. GLOBOCAN 2008, Cancer Incidence and Mortality Worldwide: IARC CancerBase No. 10. [(accessed on 29 August 2013)] // Intern. J. Cancer. 2010. V. 127. </w:t>
      </w:r>
    </w:p>
    <w:p w:rsidR="00136017" w:rsidRPr="00136017" w:rsidRDefault="00136017" w:rsidP="00136017">
      <w:pPr>
        <w:pStyle w:val="ListParagraph"/>
        <w:numPr>
          <w:ilvl w:val="0"/>
          <w:numId w:val="7"/>
        </w:numPr>
        <w:spacing w:line="360" w:lineRule="auto"/>
        <w:ind w:left="714" w:hanging="357"/>
        <w:rPr>
          <w:sz w:val="24"/>
          <w:szCs w:val="24"/>
          <w:lang w:val="en-US"/>
        </w:rPr>
      </w:pPr>
      <w:r w:rsidRPr="007336BD">
        <w:rPr>
          <w:sz w:val="24"/>
          <w:szCs w:val="24"/>
          <w:lang w:val="en-US"/>
        </w:rPr>
        <w:t xml:space="preserve">Food and Agriculture Organization of the </w:t>
      </w:r>
      <w:r w:rsidRPr="00136017">
        <w:rPr>
          <w:sz w:val="24"/>
          <w:szCs w:val="24"/>
          <w:lang w:val="en-US"/>
        </w:rPr>
        <w:t>United Nations. Food Balance Sheets. http://faostat.fao.org/ site/354/default.aspx</w:t>
      </w:r>
    </w:p>
    <w:p w:rsidR="00136017" w:rsidRPr="00C27990" w:rsidRDefault="00136017" w:rsidP="00136017">
      <w:pPr>
        <w:pStyle w:val="ListParagraph"/>
        <w:numPr>
          <w:ilvl w:val="0"/>
          <w:numId w:val="7"/>
        </w:numPr>
        <w:spacing w:line="360" w:lineRule="auto"/>
        <w:ind w:left="714" w:hanging="357"/>
        <w:rPr>
          <w:sz w:val="24"/>
          <w:szCs w:val="24"/>
        </w:rPr>
      </w:pPr>
      <w:r w:rsidRPr="00EF052E">
        <w:rPr>
          <w:sz w:val="24"/>
          <w:szCs w:val="24"/>
          <w:lang w:val="en-US"/>
        </w:rPr>
        <w:t xml:space="preserve"> </w:t>
      </w:r>
      <w:r w:rsidRPr="00136017">
        <w:rPr>
          <w:sz w:val="24"/>
          <w:szCs w:val="24"/>
        </w:rPr>
        <w:t xml:space="preserve">Бушуев В.В., Голубев В.С., Коробейников А.А., Селюков Ю.Г. Человеческий капитал для социо-гуманитарного развития. М.: Энергия, 2008. 96 с. </w:t>
      </w:r>
    </w:p>
    <w:p w:rsidR="00136017" w:rsidRPr="00136017" w:rsidRDefault="00136017" w:rsidP="00136017">
      <w:pPr>
        <w:pStyle w:val="ListParagraph"/>
        <w:numPr>
          <w:ilvl w:val="0"/>
          <w:numId w:val="7"/>
        </w:numPr>
        <w:spacing w:line="360" w:lineRule="auto"/>
        <w:ind w:left="714" w:hanging="357"/>
        <w:rPr>
          <w:sz w:val="24"/>
          <w:szCs w:val="24"/>
          <w:lang w:val="en-US"/>
        </w:rPr>
      </w:pPr>
      <w:r w:rsidRPr="00136017">
        <w:rPr>
          <w:sz w:val="24"/>
          <w:szCs w:val="24"/>
        </w:rPr>
        <w:t>Гаузер Э.Г. Географические координаты. Баку</w:t>
      </w:r>
      <w:r w:rsidRPr="00136017">
        <w:rPr>
          <w:sz w:val="24"/>
          <w:szCs w:val="24"/>
          <w:lang w:val="en-US"/>
        </w:rPr>
        <w:t xml:space="preserve">, 2010. world cities coordinates, http://erichware.info/ sposob/geograf/geogorod.htm </w:t>
      </w:r>
    </w:p>
    <w:p w:rsidR="00D5352D" w:rsidRPr="00136017" w:rsidRDefault="00136017" w:rsidP="00136017">
      <w:pPr>
        <w:pStyle w:val="desc"/>
        <w:numPr>
          <w:ilvl w:val="0"/>
          <w:numId w:val="7"/>
        </w:numPr>
        <w:spacing w:before="0" w:beforeAutospacing="0" w:after="0" w:afterAutospacing="0" w:line="360" w:lineRule="auto"/>
        <w:ind w:left="714" w:hanging="357"/>
        <w:jc w:val="both"/>
      </w:pPr>
      <w:r w:rsidRPr="00136017">
        <w:rPr>
          <w:lang w:val="en-US"/>
        </w:rPr>
        <w:t xml:space="preserve">Global Health Observatory (GHO) data. Indicator and Measurement Registry. Vers. 1.7.0 BMI ≥ 25; total cholesterol ≥ 5.0; blood glucose ≥ 7.0; Insufficiently active. World Health Organization. Percentage of Defined Population. Programme Country. 2008. </w:t>
      </w:r>
    </w:p>
    <w:sectPr w:rsidR="00D5352D" w:rsidRPr="00136017">
      <w:footerReference w:type="default" r:id="rId8"/>
      <w:headerReference w:type="first" r:id="rId9"/>
      <w:footerReference w:type="first" r:id="rId10"/>
      <w:pgSz w:w="12240" w:h="15840"/>
      <w:pgMar w:top="1134" w:right="850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695C" w:rsidRDefault="00DF011F">
      <w:r>
        <w:separator/>
      </w:r>
    </w:p>
  </w:endnote>
  <w:endnote w:type="continuationSeparator" w:id="0">
    <w:p w:rsidR="00DF695C" w:rsidRDefault="00DF0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6752" w:rsidRDefault="00ED3DC2">
    <w:pPr>
      <w:pStyle w:val="Footer"/>
      <w:jc w:val="center"/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70485" cy="160655"/>
              <wp:effectExtent l="0" t="2540" r="0" b="0"/>
              <wp:wrapNone/>
              <wp:docPr id="10" name="Поле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F6752" w:rsidRDefault="001714A1">
                          <w:pPr>
                            <w:pStyle w:val="Footer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355D8C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0" o:spid="_x0000_s1026" type="#_x0000_t202" style="position:absolute;left:0;text-align:left;margin-left:-45.65pt;margin-top:0;width:5.55pt;height:12.65pt;z-index:251659264;visibility:visible;mso-wrap-style:non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" filled="f" stroked="f">
              <v:textbox style="mso-fit-shape-to-text:t" inset="0,0,0,0">
                <w:txbxContent>
                  <w:p w:rsidR="00FF6752" w:rsidRDefault="001714A1">
                    <w:pPr>
                      <w:pStyle w:val="Footer"/>
                      <w:jc w:val="center"/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355D8C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FF6752" w:rsidRDefault="00355D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6752" w:rsidRDefault="00ED3DC2">
    <w:pPr>
      <w:pStyle w:val="Footer"/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57785" cy="131445"/>
              <wp:effectExtent l="2540" t="1270" r="0" b="635"/>
              <wp:wrapNone/>
              <wp:docPr id="9" name="Поле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F6752" w:rsidRDefault="001714A1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 w:rsidR="00355D8C">
                            <w:rPr>
                              <w:noProof/>
                              <w:sz w:val="18"/>
                            </w:rPr>
                            <w:t>1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9" o:spid="_x0000_s1027" type="#_x0000_t202" style="position:absolute;left:0;text-align:left;margin-left:-46.65pt;margin-top:0;width:4.55pt;height:10.35pt;z-index:251660288;visibility:visible;mso-wrap-style:non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" filled="f" stroked="f">
              <v:textbox style="mso-fit-shape-to-text:t" inset="0,0,0,0">
                <w:txbxContent>
                  <w:p w:rsidR="00FF6752" w:rsidRDefault="001714A1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PAGE  \* MERGEFORMAT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 w:rsidR="00355D8C">
                      <w:rPr>
                        <w:noProof/>
                        <w:sz w:val="18"/>
                      </w:rPr>
                      <w:t>1</w:t>
                    </w:r>
                    <w:r>
                      <w:rPr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695C" w:rsidRDefault="00DF011F">
      <w:r>
        <w:separator/>
      </w:r>
    </w:p>
  </w:footnote>
  <w:footnote w:type="continuationSeparator" w:id="0">
    <w:p w:rsidR="00DF695C" w:rsidRDefault="00DF01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6752" w:rsidRDefault="00355D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A6422"/>
    <w:multiLevelType w:val="multilevel"/>
    <w:tmpl w:val="DEBC51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221229"/>
    <w:multiLevelType w:val="multilevel"/>
    <w:tmpl w:val="10221229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15037"/>
    <w:multiLevelType w:val="multilevel"/>
    <w:tmpl w:val="10221229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F03F84"/>
    <w:multiLevelType w:val="hybridMultilevel"/>
    <w:tmpl w:val="49A6F4C0"/>
    <w:lvl w:ilvl="0" w:tplc="79BCB88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EB851C1"/>
    <w:multiLevelType w:val="multilevel"/>
    <w:tmpl w:val="B31E31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473B6082"/>
    <w:multiLevelType w:val="multilevel"/>
    <w:tmpl w:val="10221229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D846AC"/>
    <w:multiLevelType w:val="hybridMultilevel"/>
    <w:tmpl w:val="529EF52C"/>
    <w:lvl w:ilvl="0" w:tplc="48F42EB6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/>
        <w:color w:val="000000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912743"/>
    <w:multiLevelType w:val="multilevel"/>
    <w:tmpl w:val="DEBC51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B122E5"/>
    <w:multiLevelType w:val="hybridMultilevel"/>
    <w:tmpl w:val="C0F886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8"/>
  </w:num>
  <w:num w:numId="5">
    <w:abstractNumId w:val="6"/>
  </w:num>
  <w:num w:numId="6">
    <w:abstractNumId w:val="2"/>
  </w:num>
  <w:num w:numId="7">
    <w:abstractNumId w:val="5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95D"/>
    <w:rsid w:val="0003128A"/>
    <w:rsid w:val="00034FB1"/>
    <w:rsid w:val="000765F3"/>
    <w:rsid w:val="00117870"/>
    <w:rsid w:val="00136017"/>
    <w:rsid w:val="001714A1"/>
    <w:rsid w:val="00185C19"/>
    <w:rsid w:val="002037CE"/>
    <w:rsid w:val="00206039"/>
    <w:rsid w:val="00282B3F"/>
    <w:rsid w:val="002D678E"/>
    <w:rsid w:val="0030530C"/>
    <w:rsid w:val="00305B67"/>
    <w:rsid w:val="00355D8C"/>
    <w:rsid w:val="00376133"/>
    <w:rsid w:val="003831A0"/>
    <w:rsid w:val="003C79E0"/>
    <w:rsid w:val="003E34CB"/>
    <w:rsid w:val="004118C2"/>
    <w:rsid w:val="0042459A"/>
    <w:rsid w:val="004258B8"/>
    <w:rsid w:val="00452017"/>
    <w:rsid w:val="004E33FC"/>
    <w:rsid w:val="004E6571"/>
    <w:rsid w:val="00513773"/>
    <w:rsid w:val="005E35FF"/>
    <w:rsid w:val="00673B60"/>
    <w:rsid w:val="006762B0"/>
    <w:rsid w:val="006C0A78"/>
    <w:rsid w:val="00713C22"/>
    <w:rsid w:val="00720A39"/>
    <w:rsid w:val="00722173"/>
    <w:rsid w:val="007336BD"/>
    <w:rsid w:val="007377D7"/>
    <w:rsid w:val="00746D2B"/>
    <w:rsid w:val="007A5B05"/>
    <w:rsid w:val="00802D47"/>
    <w:rsid w:val="008419EA"/>
    <w:rsid w:val="008B4C64"/>
    <w:rsid w:val="00956EEB"/>
    <w:rsid w:val="00973FC5"/>
    <w:rsid w:val="0099057B"/>
    <w:rsid w:val="00993076"/>
    <w:rsid w:val="00996463"/>
    <w:rsid w:val="0099772B"/>
    <w:rsid w:val="009C243B"/>
    <w:rsid w:val="009D3A0D"/>
    <w:rsid w:val="009E4076"/>
    <w:rsid w:val="00A076C1"/>
    <w:rsid w:val="00A0777A"/>
    <w:rsid w:val="00A1348F"/>
    <w:rsid w:val="00A34EBC"/>
    <w:rsid w:val="00A465F5"/>
    <w:rsid w:val="00A81628"/>
    <w:rsid w:val="00AB1915"/>
    <w:rsid w:val="00AB4360"/>
    <w:rsid w:val="00AC033A"/>
    <w:rsid w:val="00AC2E5B"/>
    <w:rsid w:val="00AF495D"/>
    <w:rsid w:val="00B023E5"/>
    <w:rsid w:val="00B0380B"/>
    <w:rsid w:val="00B1392B"/>
    <w:rsid w:val="00B3033D"/>
    <w:rsid w:val="00B556C8"/>
    <w:rsid w:val="00B95396"/>
    <w:rsid w:val="00BA608C"/>
    <w:rsid w:val="00BB6622"/>
    <w:rsid w:val="00C27990"/>
    <w:rsid w:val="00C314DA"/>
    <w:rsid w:val="00CB7D91"/>
    <w:rsid w:val="00CC5D9E"/>
    <w:rsid w:val="00CD2EC9"/>
    <w:rsid w:val="00D1792A"/>
    <w:rsid w:val="00D23244"/>
    <w:rsid w:val="00D5352D"/>
    <w:rsid w:val="00D61B0E"/>
    <w:rsid w:val="00D636B6"/>
    <w:rsid w:val="00DB4377"/>
    <w:rsid w:val="00DE4677"/>
    <w:rsid w:val="00DF011F"/>
    <w:rsid w:val="00DF695C"/>
    <w:rsid w:val="00E1402F"/>
    <w:rsid w:val="00EA0A62"/>
    <w:rsid w:val="00ED3DC2"/>
    <w:rsid w:val="00EF052E"/>
    <w:rsid w:val="00F22345"/>
    <w:rsid w:val="00F42834"/>
    <w:rsid w:val="00F669D1"/>
    <w:rsid w:val="00FD4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4EDF832"/>
  <w15:docId w15:val="{08A67D71-50D2-400B-AFC6-FD29C7DA4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3DC2"/>
    <w:pPr>
      <w:spacing w:after="0" w:line="240" w:lineRule="auto"/>
      <w:jc w:val="both"/>
    </w:pPr>
    <w:rPr>
      <w:rFonts w:ascii="Times New Roman" w:eastAsia="Times New Roman" w:hAnsi="Times New Roman" w:cs="Times New Roman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D3DC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D3DC2"/>
    <w:pPr>
      <w:keepNext/>
      <w:keepLines/>
      <w:spacing w:before="200"/>
      <w:outlineLvl w:val="1"/>
    </w:pPr>
    <w:rPr>
      <w:rFonts w:ascii="Calibri Light" w:hAnsi="Calibri Light"/>
      <w:b/>
      <w:bCs/>
      <w:color w:val="5B9BD5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D3DC2"/>
    <w:pPr>
      <w:keepNext/>
      <w:keepLines/>
      <w:spacing w:before="200"/>
      <w:outlineLvl w:val="2"/>
    </w:pPr>
    <w:rPr>
      <w:rFonts w:ascii="Calibri Light" w:hAnsi="Calibri Light"/>
      <w:b/>
      <w:bCs/>
      <w:color w:val="5B9BD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D3DC2"/>
    <w:rPr>
      <w:rFonts w:ascii="Calibri Light" w:eastAsia="Times New Roman" w:hAnsi="Calibri Light" w:cs="Times New Roman"/>
      <w:b/>
      <w:bCs/>
      <w:color w:val="5B9BD5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ED3DC2"/>
    <w:rPr>
      <w:rFonts w:ascii="Calibri Light" w:eastAsia="Times New Roman" w:hAnsi="Calibri Light" w:cs="Times New Roman"/>
      <w:b/>
      <w:bCs/>
      <w:color w:val="5B9BD5"/>
      <w:lang w:val="en-US"/>
    </w:rPr>
  </w:style>
  <w:style w:type="paragraph" w:styleId="BodyText">
    <w:name w:val="Body Text"/>
    <w:basedOn w:val="Normal"/>
    <w:link w:val="BodyTextChar"/>
    <w:rsid w:val="00ED3DC2"/>
    <w:pPr>
      <w:jc w:val="left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rsid w:val="00ED3DC2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D3DC2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3DC2"/>
    <w:rPr>
      <w:rFonts w:ascii="Times New Roman" w:eastAsia="Times New Roman" w:hAnsi="Times New Roman" w:cs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ED3DC2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3DC2"/>
    <w:rPr>
      <w:rFonts w:ascii="Times New Roman" w:eastAsia="Times New Roman" w:hAnsi="Times New Roman" w:cs="Times New Roman"/>
      <w:lang w:val="en-US"/>
    </w:rPr>
  </w:style>
  <w:style w:type="paragraph" w:styleId="TOC2">
    <w:name w:val="toc 2"/>
    <w:basedOn w:val="Normal"/>
    <w:next w:val="Normal"/>
    <w:uiPriority w:val="39"/>
    <w:unhideWhenUsed/>
    <w:rsid w:val="00ED3DC2"/>
    <w:pPr>
      <w:spacing w:after="100"/>
      <w:ind w:left="220"/>
    </w:pPr>
  </w:style>
  <w:style w:type="paragraph" w:styleId="TOC3">
    <w:name w:val="toc 3"/>
    <w:basedOn w:val="Normal"/>
    <w:next w:val="Normal"/>
    <w:uiPriority w:val="39"/>
    <w:unhideWhenUsed/>
    <w:rsid w:val="00ED3DC2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ED3DC2"/>
    <w:rPr>
      <w:color w:val="0563C1"/>
      <w:u w:val="single"/>
    </w:rPr>
  </w:style>
  <w:style w:type="paragraph" w:customStyle="1" w:styleId="1">
    <w:name w:val="Абзац списка1"/>
    <w:basedOn w:val="Normal"/>
    <w:qFormat/>
    <w:rsid w:val="00ED3DC2"/>
    <w:pPr>
      <w:ind w:left="720"/>
      <w:contextualSpacing/>
      <w:jc w:val="left"/>
    </w:pPr>
    <w:rPr>
      <w:sz w:val="24"/>
      <w:szCs w:val="24"/>
    </w:rPr>
  </w:style>
  <w:style w:type="paragraph" w:customStyle="1" w:styleId="10">
    <w:name w:val="Заголовок оглавления1"/>
    <w:basedOn w:val="Heading1"/>
    <w:next w:val="Normal"/>
    <w:uiPriority w:val="39"/>
    <w:semiHidden/>
    <w:unhideWhenUsed/>
    <w:qFormat/>
    <w:rsid w:val="00ED3DC2"/>
    <w:pPr>
      <w:spacing w:line="276" w:lineRule="auto"/>
      <w:jc w:val="left"/>
      <w:outlineLvl w:val="9"/>
    </w:pPr>
    <w:rPr>
      <w:rFonts w:ascii="Calibri Light" w:eastAsia="Times New Roman" w:hAnsi="Calibri Light" w:cs="Times New Roman"/>
      <w:color w:val="2D73B3"/>
    </w:rPr>
  </w:style>
  <w:style w:type="character" w:customStyle="1" w:styleId="Heading1Char">
    <w:name w:val="Heading 1 Char"/>
    <w:basedOn w:val="DefaultParagraphFont"/>
    <w:link w:val="Heading1"/>
    <w:uiPriority w:val="9"/>
    <w:rsid w:val="00ED3D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3D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3DC2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qFormat/>
    <w:rsid w:val="003E34CB"/>
    <w:pPr>
      <w:ind w:left="720"/>
      <w:contextualSpacing/>
    </w:pPr>
    <w:rPr>
      <w:lang w:val="ru-RU"/>
    </w:rPr>
  </w:style>
  <w:style w:type="paragraph" w:styleId="Bibliography">
    <w:name w:val="Bibliography"/>
    <w:basedOn w:val="Normal"/>
    <w:next w:val="Normal"/>
    <w:uiPriority w:val="37"/>
    <w:semiHidden/>
    <w:unhideWhenUsed/>
    <w:rsid w:val="00AC2E5B"/>
  </w:style>
  <w:style w:type="paragraph" w:customStyle="1" w:styleId="zag3">
    <w:name w:val="zag3"/>
    <w:basedOn w:val="Normal"/>
    <w:rsid w:val="006762B0"/>
    <w:pPr>
      <w:widowControl w:val="0"/>
      <w:spacing w:before="240" w:after="240"/>
      <w:jc w:val="center"/>
    </w:pPr>
    <w:rPr>
      <w:kern w:val="2"/>
      <w:sz w:val="24"/>
      <w:szCs w:val="24"/>
      <w:lang w:eastAsia="zh-CN"/>
    </w:rPr>
  </w:style>
  <w:style w:type="paragraph" w:customStyle="1" w:styleId="Default">
    <w:name w:val="Default"/>
    <w:rsid w:val="008B4C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desc">
    <w:name w:val="desc"/>
    <w:basedOn w:val="Normal"/>
    <w:rsid w:val="00D5352D"/>
    <w:pPr>
      <w:spacing w:before="100" w:beforeAutospacing="1" w:after="100" w:afterAutospacing="1"/>
      <w:jc w:val="left"/>
    </w:pPr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6A2DC3-096C-4704-B007-AC597DB89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17</Pages>
  <Words>3958</Words>
  <Characters>22567</Characters>
  <Application>Microsoft Office Word</Application>
  <DocSecurity>0</DocSecurity>
  <Lines>188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HP_2</dc:creator>
  <cp:keywords/>
  <dc:description/>
  <cp:lastModifiedBy>U1</cp:lastModifiedBy>
  <cp:revision>84</cp:revision>
  <dcterms:created xsi:type="dcterms:W3CDTF">2017-01-27T10:53:00Z</dcterms:created>
  <dcterms:modified xsi:type="dcterms:W3CDTF">2017-01-30T20:12:00Z</dcterms:modified>
</cp:coreProperties>
</file>