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910" w:rsidRPr="00ED3DC2" w:rsidRDefault="00423910" w:rsidP="00423910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Федеральное государственное бюджетное учреждение науки</w:t>
      </w:r>
    </w:p>
    <w:p w:rsidR="00423910" w:rsidRPr="00ED3DC2" w:rsidRDefault="00423910" w:rsidP="00423910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Центр теоретических проблем Физико-химической фармакологии</w:t>
      </w:r>
    </w:p>
    <w:p w:rsidR="00423910" w:rsidRPr="00040669" w:rsidRDefault="00423910" w:rsidP="00423910">
      <w:pPr>
        <w:spacing w:line="360" w:lineRule="auto"/>
        <w:ind w:firstLine="540"/>
        <w:jc w:val="center"/>
        <w:rPr>
          <w:b/>
          <w:lang w:val="ru-RU"/>
        </w:rPr>
      </w:pPr>
      <w:r w:rsidRPr="00040669">
        <w:rPr>
          <w:b/>
          <w:lang w:val="ru-RU"/>
        </w:rPr>
        <w:t>Российской академии наук</w:t>
      </w:r>
      <w:r>
        <w:rPr>
          <w:b/>
          <w:lang w:val="ru-RU"/>
        </w:rPr>
        <w:t xml:space="preserve"> (ЦТП ФХФ РАН)</w:t>
      </w:r>
    </w:p>
    <w:p w:rsidR="00423910" w:rsidRPr="00040669" w:rsidRDefault="00423910" w:rsidP="00423910">
      <w:pPr>
        <w:spacing w:line="360" w:lineRule="auto"/>
        <w:ind w:firstLine="540"/>
        <w:jc w:val="center"/>
        <w:rPr>
          <w:b/>
          <w:lang w:val="ru-RU"/>
        </w:rPr>
      </w:pPr>
    </w:p>
    <w:p w:rsidR="00423910" w:rsidRPr="00040669" w:rsidRDefault="00423910" w:rsidP="00423910">
      <w:pPr>
        <w:spacing w:line="360" w:lineRule="auto"/>
        <w:ind w:firstLine="540"/>
        <w:jc w:val="center"/>
        <w:rPr>
          <w:b/>
          <w:lang w:val="ru-RU"/>
        </w:rPr>
      </w:pPr>
    </w:p>
    <w:tbl>
      <w:tblPr>
        <w:tblW w:w="97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425"/>
        <w:gridCol w:w="3888"/>
      </w:tblGrid>
      <w:tr w:rsidR="00423910" w:rsidRPr="00423910" w:rsidTr="00C52FBC">
        <w:trPr>
          <w:trHeight w:val="2506"/>
        </w:trPr>
        <w:tc>
          <w:tcPr>
            <w:tcW w:w="5387" w:type="dxa"/>
          </w:tcPr>
          <w:p w:rsidR="00423910" w:rsidRPr="000345D0" w:rsidRDefault="00423910" w:rsidP="00C52FB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345D0">
              <w:rPr>
                <w:color w:val="000000"/>
                <w:sz w:val="24"/>
                <w:szCs w:val="24"/>
                <w:lang w:val="ru-RU"/>
              </w:rPr>
              <w:t xml:space="preserve">УДК: </w:t>
            </w:r>
            <w:r w:rsidRPr="000345D0">
              <w:rPr>
                <w:color w:val="333333"/>
                <w:sz w:val="24"/>
                <w:szCs w:val="24"/>
                <w:lang w:val="ru-RU"/>
              </w:rPr>
              <w:t>577.3.01 577.38 577.3:51-76</w:t>
            </w:r>
          </w:p>
          <w:p w:rsidR="00423910" w:rsidRPr="000345D0" w:rsidRDefault="00423910" w:rsidP="00C52FB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highlight w:val="yellow"/>
                <w:lang w:val="ru-RU"/>
              </w:rPr>
            </w:pPr>
            <w:r w:rsidRPr="000345D0">
              <w:rPr>
                <w:color w:val="000000"/>
                <w:sz w:val="24"/>
                <w:szCs w:val="24"/>
                <w:lang w:val="ru-RU"/>
              </w:rPr>
              <w:t>Регистрационный №</w:t>
            </w:r>
            <w:r w:rsidRPr="00EA7C91">
              <w:rPr>
                <w:lang w:val="ru-RU"/>
              </w:rPr>
              <w:t xml:space="preserve"> </w:t>
            </w:r>
            <w:r w:rsidRPr="00423910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АААА-А18-118012300221-7</w:t>
            </w:r>
          </w:p>
          <w:p w:rsidR="00423910" w:rsidRPr="00EA7C91" w:rsidRDefault="00423910" w:rsidP="00C52FB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345D0">
              <w:rPr>
                <w:color w:val="000000"/>
                <w:sz w:val="24"/>
                <w:szCs w:val="24"/>
                <w:lang w:val="ru-RU"/>
              </w:rPr>
              <w:t xml:space="preserve">Инв. № </w:t>
            </w:r>
            <w:r>
              <w:rPr>
                <w:sz w:val="24"/>
                <w:lang w:val="ru-RU"/>
              </w:rPr>
              <w:t>0131-2015-000</w:t>
            </w:r>
            <w:r w:rsidRPr="00EA7C91">
              <w:rPr>
                <w:sz w:val="24"/>
                <w:lang w:val="ru-RU"/>
              </w:rPr>
              <w:t>1</w:t>
            </w:r>
          </w:p>
          <w:p w:rsidR="00423910" w:rsidRPr="000345D0" w:rsidRDefault="00423910" w:rsidP="00C52FBC">
            <w:pPr>
              <w:spacing w:line="360" w:lineRule="auto"/>
              <w:ind w:firstLine="540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</w:tcPr>
          <w:p w:rsidR="00423910" w:rsidRPr="000345D0" w:rsidRDefault="00423910" w:rsidP="00C52FBC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  <w:p w:rsidR="00423910" w:rsidRPr="000345D0" w:rsidRDefault="00423910" w:rsidP="00C52FBC">
            <w:pPr>
              <w:spacing w:line="360" w:lineRule="auto"/>
              <w:ind w:left="-137" w:firstLine="540"/>
              <w:jc w:val="center"/>
              <w:rPr>
                <w:sz w:val="24"/>
                <w:szCs w:val="24"/>
                <w:lang w:val="ru-RU"/>
              </w:rPr>
            </w:pPr>
          </w:p>
          <w:p w:rsidR="00423910" w:rsidRPr="000345D0" w:rsidRDefault="00423910" w:rsidP="00C52FBC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  <w:p w:rsidR="00423910" w:rsidRPr="000345D0" w:rsidRDefault="00423910" w:rsidP="00C52FBC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88" w:type="dxa"/>
          </w:tcPr>
          <w:p w:rsidR="00423910" w:rsidRPr="00ED3DC2" w:rsidRDefault="00423910" w:rsidP="00C52FBC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УТВЕРЖДАЮ</w:t>
            </w:r>
          </w:p>
          <w:p w:rsidR="00423910" w:rsidRPr="00ED3DC2" w:rsidRDefault="00046BD3" w:rsidP="00C52FBC">
            <w:pPr>
              <w:spacing w:line="360" w:lineRule="auto"/>
              <w:ind w:firstLine="540"/>
              <w:rPr>
                <w:lang w:val="ru-RU"/>
              </w:rPr>
            </w:pPr>
            <w:r>
              <w:rPr>
                <w:lang w:val="ru-RU"/>
              </w:rPr>
              <w:t>ВРИО д</w:t>
            </w:r>
            <w:r w:rsidR="00423910" w:rsidRPr="00ED3DC2">
              <w:rPr>
                <w:lang w:val="ru-RU"/>
              </w:rPr>
              <w:t>иректор</w:t>
            </w:r>
            <w:r>
              <w:rPr>
                <w:lang w:val="ru-RU"/>
              </w:rPr>
              <w:t>а</w:t>
            </w:r>
          </w:p>
          <w:p w:rsidR="00423910" w:rsidRPr="00ED3DC2" w:rsidRDefault="00423910" w:rsidP="00C52FBC">
            <w:pPr>
              <w:spacing w:line="360" w:lineRule="auto"/>
              <w:ind w:firstLine="540"/>
              <w:rPr>
                <w:lang w:val="ru-RU"/>
              </w:rPr>
            </w:pPr>
          </w:p>
          <w:p w:rsidR="00423910" w:rsidRPr="00ED3DC2" w:rsidRDefault="00423910" w:rsidP="00C52FBC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________</w:t>
            </w:r>
            <w:r>
              <w:rPr>
                <w:lang w:val="ru-RU"/>
              </w:rPr>
              <w:t>__</w:t>
            </w:r>
            <w:r w:rsidRPr="00ED3DC2">
              <w:rPr>
                <w:lang w:val="ru-RU"/>
              </w:rPr>
              <w:t>_</w:t>
            </w:r>
            <w:r w:rsidR="00561BF8">
              <w:rPr>
                <w:lang w:val="ru-RU"/>
              </w:rPr>
              <w:t>М.А. Пантелеев</w:t>
            </w:r>
          </w:p>
          <w:p w:rsidR="00423910" w:rsidRPr="00ED3DC2" w:rsidRDefault="00423910" w:rsidP="00C52FBC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«___»</w:t>
            </w:r>
            <w:r w:rsidRPr="00ED3DC2">
              <w:t> </w:t>
            </w:r>
            <w:r w:rsidRPr="00ED3DC2">
              <w:rPr>
                <w:lang w:val="ru-RU"/>
              </w:rPr>
              <w:t>______________</w:t>
            </w:r>
            <w:r w:rsidRPr="00ED3DC2">
              <w:t> </w:t>
            </w:r>
            <w:r w:rsidR="00561BF8">
              <w:rPr>
                <w:lang w:val="ru-RU"/>
              </w:rPr>
              <w:t>20__</w:t>
            </w:r>
            <w:r w:rsidRPr="00ED3DC2">
              <w:rPr>
                <w:lang w:val="ru-RU"/>
              </w:rPr>
              <w:t xml:space="preserve"> г.</w:t>
            </w:r>
          </w:p>
        </w:tc>
      </w:tr>
    </w:tbl>
    <w:p w:rsidR="00423910" w:rsidRPr="00ED3DC2" w:rsidRDefault="00423910" w:rsidP="00423910">
      <w:pPr>
        <w:tabs>
          <w:tab w:val="left" w:pos="7088"/>
        </w:tabs>
        <w:spacing w:line="360" w:lineRule="auto"/>
        <w:ind w:firstLine="7088"/>
        <w:rPr>
          <w:lang w:val="ru-RU"/>
        </w:rPr>
      </w:pPr>
      <w:r w:rsidRPr="00ED3DC2">
        <w:rPr>
          <w:lang w:val="ru-RU"/>
        </w:rPr>
        <w:t>М.П.</w:t>
      </w:r>
    </w:p>
    <w:p w:rsidR="00423910" w:rsidRPr="00ED3DC2" w:rsidRDefault="00423910" w:rsidP="00423910">
      <w:pPr>
        <w:spacing w:line="360" w:lineRule="auto"/>
        <w:ind w:firstLine="540"/>
        <w:jc w:val="center"/>
        <w:rPr>
          <w:lang w:val="ru-RU"/>
        </w:rPr>
      </w:pPr>
    </w:p>
    <w:p w:rsidR="00423910" w:rsidRDefault="00423910" w:rsidP="00423910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 xml:space="preserve">ОТЧЕТ О </w:t>
      </w:r>
      <w:r>
        <w:rPr>
          <w:b/>
          <w:lang w:val="ru-RU"/>
        </w:rPr>
        <w:t>НАУЧНО-</w:t>
      </w:r>
      <w:r w:rsidRPr="00ED3DC2">
        <w:rPr>
          <w:b/>
          <w:lang w:val="ru-RU"/>
        </w:rPr>
        <w:t>ИССЛЕДОВА</w:t>
      </w:r>
      <w:r>
        <w:rPr>
          <w:b/>
          <w:lang w:val="ru-RU"/>
        </w:rPr>
        <w:t>ТЕЛЬСКОЙ РАБОТЕ</w:t>
      </w:r>
    </w:p>
    <w:p w:rsidR="00AD2F06" w:rsidRDefault="00AD2F06" w:rsidP="00AD2F06">
      <w:pPr>
        <w:spacing w:line="360" w:lineRule="auto"/>
        <w:jc w:val="center"/>
        <w:rPr>
          <w:b/>
          <w:color w:val="222222"/>
          <w:shd w:val="clear" w:color="auto" w:fill="FFFFFF"/>
          <w:lang w:val="ru-RU"/>
        </w:rPr>
      </w:pPr>
      <w:r w:rsidRPr="00AD2F06">
        <w:rPr>
          <w:b/>
          <w:lang w:val="ru-RU"/>
        </w:rPr>
        <w:t xml:space="preserve">по </w:t>
      </w:r>
      <w:r w:rsidRPr="00AD2F06">
        <w:rPr>
          <w:b/>
          <w:color w:val="222222"/>
          <w:shd w:val="clear" w:color="auto" w:fill="FFFFFF"/>
          <w:lang w:val="ru-RU"/>
        </w:rPr>
        <w:t xml:space="preserve">Программе фундаментальных научных исследований президиума РАН </w:t>
      </w:r>
    </w:p>
    <w:p w:rsidR="00423910" w:rsidRPr="00ED3DC2" w:rsidRDefault="00AD2F06" w:rsidP="00AD2F06">
      <w:pPr>
        <w:spacing w:line="360" w:lineRule="auto"/>
        <w:jc w:val="center"/>
        <w:rPr>
          <w:b/>
          <w:lang w:val="ru-RU"/>
        </w:rPr>
      </w:pPr>
      <w:r w:rsidRPr="00AD2F06">
        <w:rPr>
          <w:b/>
          <w:lang w:val="ru-RU"/>
        </w:rPr>
        <w:t xml:space="preserve">«Механизмы интеграции молекулярных систем при реализации физиологических функций. Интеграция регуляторных влияний в обеспечении функций организма» (1.19П) </w:t>
      </w:r>
      <w:r w:rsidR="00423910">
        <w:rPr>
          <w:b/>
          <w:lang w:val="ru-RU"/>
        </w:rPr>
        <w:t>(заключительный)</w:t>
      </w:r>
    </w:p>
    <w:p w:rsidR="00423910" w:rsidRPr="00ED3DC2" w:rsidRDefault="00423910" w:rsidP="00423910">
      <w:pPr>
        <w:spacing w:line="360" w:lineRule="auto"/>
        <w:ind w:firstLine="540"/>
        <w:jc w:val="center"/>
        <w:rPr>
          <w:b/>
          <w:lang w:val="ru-RU"/>
        </w:rPr>
      </w:pPr>
    </w:p>
    <w:p w:rsidR="00423910" w:rsidRPr="00ED3DC2" w:rsidRDefault="00423910" w:rsidP="00423910">
      <w:pPr>
        <w:spacing w:line="360" w:lineRule="auto"/>
        <w:ind w:firstLine="540"/>
        <w:jc w:val="center"/>
        <w:rPr>
          <w:b/>
          <w:lang w:val="ru-RU"/>
        </w:rPr>
      </w:pPr>
    </w:p>
    <w:p w:rsidR="00423910" w:rsidRPr="00ED3DC2" w:rsidRDefault="00423910" w:rsidP="00423910">
      <w:pPr>
        <w:spacing w:line="360" w:lineRule="auto"/>
        <w:jc w:val="center"/>
        <w:rPr>
          <w:b/>
          <w:lang w:val="ru-RU"/>
        </w:rPr>
      </w:pPr>
      <w:r w:rsidRPr="00423910">
        <w:rPr>
          <w:b/>
          <w:lang w:val="ru-RU"/>
        </w:rPr>
        <w:t>ПРОСТРАНСТВЕННО-ВРЕМЕННОЕ РАСПРЕДЕЛЕНИЕ ТРОМБИНА В ЦЕЛЬНОЙ КРОВИ КАК НОВЫЙ МЕТОД ИССЛЕДОВАНИЯ ФИЗИОЛОГИИ СВЕРТЫВАНИЯ</w:t>
      </w:r>
    </w:p>
    <w:p w:rsidR="00423910" w:rsidRPr="00ED3DC2" w:rsidRDefault="00423910" w:rsidP="00423910">
      <w:pPr>
        <w:spacing w:line="360" w:lineRule="auto"/>
        <w:ind w:firstLine="540"/>
        <w:jc w:val="center"/>
        <w:rPr>
          <w:b/>
          <w:lang w:val="ru-RU"/>
        </w:rPr>
      </w:pPr>
    </w:p>
    <w:p w:rsidR="00423910" w:rsidRPr="00ED3DC2" w:rsidRDefault="00423910" w:rsidP="00423910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423910" w:rsidRPr="00ED3DC2" w:rsidRDefault="00423910" w:rsidP="00423910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423910" w:rsidRPr="00ED3DC2" w:rsidRDefault="00423910" w:rsidP="00423910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423910" w:rsidRPr="00ED3DC2" w:rsidRDefault="00423910" w:rsidP="00423910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423910" w:rsidRPr="00ED3DC2" w:rsidRDefault="00423910" w:rsidP="00423910">
      <w:pPr>
        <w:spacing w:line="360" w:lineRule="auto"/>
        <w:ind w:firstLine="540"/>
        <w:jc w:val="center"/>
        <w:rPr>
          <w:lang w:val="ru-RU"/>
        </w:rPr>
      </w:pPr>
    </w:p>
    <w:p w:rsidR="00423910" w:rsidRPr="00ED3DC2" w:rsidRDefault="00423910" w:rsidP="00423910">
      <w:pPr>
        <w:pStyle w:val="a3"/>
        <w:rPr>
          <w:b/>
          <w:lang w:val="ru-RU"/>
        </w:rPr>
      </w:pPr>
      <w:r w:rsidRPr="00ED3DC2">
        <w:rPr>
          <w:rFonts w:eastAsia="Calibri"/>
          <w:sz w:val="24"/>
          <w:szCs w:val="24"/>
          <w:lang w:val="ru-RU"/>
        </w:rPr>
        <w:t>Руководитель проекта</w:t>
      </w:r>
      <w:r w:rsidRPr="00ED3DC2">
        <w:rPr>
          <w:rFonts w:eastAsia="Calibri"/>
          <w:sz w:val="24"/>
          <w:szCs w:val="24"/>
          <w:lang w:val="ru-RU"/>
        </w:rPr>
        <w:tab/>
      </w:r>
      <w:r w:rsidRPr="00ED3DC2">
        <w:rPr>
          <w:rFonts w:eastAsia="Calibri"/>
          <w:sz w:val="24"/>
          <w:szCs w:val="24"/>
          <w:lang w:val="ru-RU"/>
        </w:rPr>
        <w:tab/>
      </w:r>
      <w:r w:rsidRPr="00ED3DC2">
        <w:rPr>
          <w:rFonts w:eastAsia="Calibri"/>
          <w:sz w:val="24"/>
          <w:szCs w:val="24"/>
          <w:lang w:val="ru-RU"/>
        </w:rPr>
        <w:tab/>
      </w:r>
      <w:r w:rsidRPr="00ED3DC2">
        <w:rPr>
          <w:rFonts w:eastAsia="Calibri"/>
          <w:sz w:val="24"/>
          <w:szCs w:val="24"/>
          <w:lang w:val="ru-RU"/>
        </w:rPr>
        <w:tab/>
        <w:t>___</w:t>
      </w:r>
      <w:r>
        <w:rPr>
          <w:rFonts w:eastAsia="Calibri"/>
          <w:sz w:val="24"/>
          <w:szCs w:val="24"/>
          <w:lang w:val="ru-RU"/>
        </w:rPr>
        <w:t>_______</w:t>
      </w:r>
      <w:r w:rsidRPr="00ED3DC2">
        <w:rPr>
          <w:rFonts w:eastAsia="Calibri"/>
          <w:sz w:val="24"/>
          <w:szCs w:val="24"/>
          <w:lang w:val="ru-RU"/>
        </w:rPr>
        <w:t>________</w:t>
      </w:r>
      <w:r w:rsidRPr="00ED3DC2">
        <w:rPr>
          <w:b/>
          <w:lang w:val="ru-RU"/>
        </w:rPr>
        <w:t xml:space="preserve"> /</w:t>
      </w:r>
      <w:r w:rsidRPr="00ED3DC2">
        <w:rPr>
          <w:rFonts w:eastAsia="Calibri"/>
          <w:sz w:val="24"/>
          <w:szCs w:val="24"/>
          <w:lang w:val="ru-RU"/>
        </w:rPr>
        <w:t>Ф.И. Атауллаханов</w:t>
      </w:r>
      <w:r w:rsidRPr="00ED3DC2">
        <w:rPr>
          <w:b/>
          <w:lang w:val="ru-RU"/>
        </w:rPr>
        <w:t xml:space="preserve"> /</w:t>
      </w:r>
    </w:p>
    <w:p w:rsidR="00423910" w:rsidRPr="00ED3DC2" w:rsidRDefault="00423910" w:rsidP="00423910">
      <w:pPr>
        <w:pStyle w:val="a3"/>
        <w:rPr>
          <w:bCs/>
          <w:sz w:val="18"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  <w:t xml:space="preserve">                          </w:t>
      </w:r>
      <w:r>
        <w:rPr>
          <w:bCs/>
          <w:sz w:val="18"/>
          <w:lang w:val="ru-RU"/>
        </w:rPr>
        <w:t>п</w:t>
      </w:r>
      <w:r w:rsidRPr="00ED3DC2">
        <w:rPr>
          <w:bCs/>
          <w:sz w:val="18"/>
          <w:lang w:val="ru-RU"/>
        </w:rPr>
        <w:t>одпись</w:t>
      </w:r>
      <w:r>
        <w:rPr>
          <w:bCs/>
          <w:sz w:val="18"/>
          <w:lang w:val="ru-RU"/>
        </w:rPr>
        <w:t>, дата</w:t>
      </w:r>
      <w:r w:rsidRPr="00ED3DC2">
        <w:rPr>
          <w:bCs/>
          <w:sz w:val="18"/>
          <w:lang w:val="ru-RU"/>
        </w:rPr>
        <w:tab/>
      </w:r>
      <w:r w:rsidRPr="00ED3DC2">
        <w:rPr>
          <w:bCs/>
          <w:sz w:val="18"/>
          <w:lang w:val="ru-RU"/>
        </w:rPr>
        <w:tab/>
        <w:t xml:space="preserve">расшифровка </w:t>
      </w:r>
    </w:p>
    <w:p w:rsidR="00423910" w:rsidRPr="00ED3DC2" w:rsidRDefault="00423910" w:rsidP="00423910">
      <w:pPr>
        <w:pStyle w:val="a3"/>
        <w:ind w:left="4956"/>
        <w:rPr>
          <w:rFonts w:eastAsia="Calibri"/>
          <w:sz w:val="24"/>
          <w:szCs w:val="24"/>
          <w:lang w:val="ru-RU"/>
        </w:rPr>
      </w:pPr>
    </w:p>
    <w:p w:rsidR="00423910" w:rsidRPr="005E35FF" w:rsidRDefault="00423910" w:rsidP="00423910">
      <w:pPr>
        <w:pStyle w:val="11"/>
        <w:spacing w:line="360" w:lineRule="auto"/>
        <w:ind w:left="0" w:firstLine="540"/>
        <w:jc w:val="both"/>
        <w:rPr>
          <w:i/>
          <w:lang w:val="ru-RU"/>
        </w:rPr>
      </w:pPr>
    </w:p>
    <w:p w:rsidR="00423910" w:rsidRPr="005E35FF" w:rsidRDefault="00423910" w:rsidP="00423910">
      <w:pPr>
        <w:pStyle w:val="11"/>
        <w:spacing w:line="360" w:lineRule="auto"/>
        <w:ind w:left="0" w:firstLine="540"/>
        <w:jc w:val="both"/>
        <w:rPr>
          <w:i/>
          <w:lang w:val="ru-RU"/>
        </w:rPr>
      </w:pPr>
    </w:p>
    <w:p w:rsidR="00423910" w:rsidRPr="00305B67" w:rsidRDefault="00423910" w:rsidP="00423910">
      <w:pPr>
        <w:pStyle w:val="11"/>
        <w:spacing w:line="360" w:lineRule="auto"/>
        <w:ind w:left="0" w:firstLine="540"/>
        <w:jc w:val="center"/>
        <w:rPr>
          <w:lang w:val="ru-RU"/>
        </w:rPr>
      </w:pPr>
      <w:r w:rsidRPr="00ED3DC2">
        <w:rPr>
          <w:lang w:val="ru-RU"/>
        </w:rPr>
        <w:t>Москва 201</w:t>
      </w:r>
      <w:r>
        <w:rPr>
          <w:lang w:val="ru-RU"/>
        </w:rPr>
        <w:t>7</w:t>
      </w:r>
    </w:p>
    <w:p w:rsidR="00423910" w:rsidRPr="00BF340D" w:rsidRDefault="00423910" w:rsidP="00423910">
      <w:pPr>
        <w:spacing w:after="160" w:line="259" w:lineRule="auto"/>
        <w:jc w:val="left"/>
        <w:rPr>
          <w:lang w:val="ru-RU"/>
        </w:rPr>
      </w:pPr>
      <w:r w:rsidRPr="00BF340D">
        <w:rPr>
          <w:lang w:val="ru-RU"/>
        </w:rPr>
        <w:br w:type="page"/>
      </w:r>
    </w:p>
    <w:p w:rsidR="00305B67" w:rsidRPr="00BF340D" w:rsidRDefault="00305B67" w:rsidP="00305B67">
      <w:pPr>
        <w:pageBreakBefore/>
        <w:jc w:val="center"/>
        <w:rPr>
          <w:sz w:val="24"/>
          <w:szCs w:val="24"/>
          <w:lang w:val="ru-RU"/>
        </w:rPr>
      </w:pPr>
      <w:r w:rsidRPr="00BF340D">
        <w:rPr>
          <w:sz w:val="24"/>
          <w:szCs w:val="24"/>
          <w:lang w:val="ru-RU"/>
        </w:rPr>
        <w:lastRenderedPageBreak/>
        <w:t>СПИСОК ИСПОЛНИТЕЛЕЙ</w:t>
      </w:r>
    </w:p>
    <w:p w:rsidR="00305B67" w:rsidRPr="00BF340D" w:rsidRDefault="00305B67" w:rsidP="00305B67">
      <w:pPr>
        <w:jc w:val="center"/>
        <w:rPr>
          <w:sz w:val="24"/>
          <w:szCs w:val="24"/>
          <w:lang w:val="ru-RU"/>
        </w:rPr>
      </w:pPr>
    </w:p>
    <w:p w:rsidR="00423910" w:rsidRPr="00EA7C91" w:rsidRDefault="00423910" w:rsidP="00305B67">
      <w:pPr>
        <w:tabs>
          <w:tab w:val="left" w:pos="3969"/>
          <w:tab w:val="left" w:pos="5245"/>
        </w:tabs>
        <w:rPr>
          <w:sz w:val="24"/>
          <w:szCs w:val="24"/>
          <w:lang w:val="ru-RU"/>
        </w:rPr>
      </w:pPr>
    </w:p>
    <w:p w:rsidR="00305B67" w:rsidRPr="009D3A0D" w:rsidRDefault="002A2044" w:rsidP="00305B67">
      <w:pPr>
        <w:tabs>
          <w:tab w:val="left" w:pos="3969"/>
          <w:tab w:val="left" w:pos="5245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Руководитель</w:t>
      </w:r>
      <w:r w:rsidR="00305B67">
        <w:rPr>
          <w:sz w:val="24"/>
          <w:szCs w:val="24"/>
          <w:lang w:val="ru-RU"/>
        </w:rPr>
        <w:t xml:space="preserve">, член-корр. РАН, </w:t>
      </w:r>
      <w:r w:rsidR="00305B67" w:rsidRPr="009D3A0D">
        <w:rPr>
          <w:sz w:val="24"/>
          <w:szCs w:val="24"/>
          <w:lang w:val="ru-RU"/>
        </w:rPr>
        <w:t xml:space="preserve">д.б.н. </w:t>
      </w:r>
      <w:r w:rsidR="00305B67" w:rsidRPr="0030530C">
        <w:rPr>
          <w:sz w:val="24"/>
          <w:szCs w:val="24"/>
          <w:lang w:val="ru-RU"/>
        </w:rPr>
        <w:tab/>
      </w:r>
      <w:r w:rsidR="00305B67" w:rsidRPr="009D3A0D">
        <w:rPr>
          <w:sz w:val="24"/>
          <w:szCs w:val="24"/>
          <w:lang w:val="ru-RU"/>
        </w:rPr>
        <w:t>______________________ Атауллаханов Ф.И.</w:t>
      </w:r>
    </w:p>
    <w:p w:rsidR="00305B67" w:rsidRPr="009D3A0D" w:rsidRDefault="00305B67" w:rsidP="00305B67">
      <w:pPr>
        <w:tabs>
          <w:tab w:val="left" w:pos="3969"/>
          <w:tab w:val="left" w:pos="5245"/>
        </w:tabs>
        <w:jc w:val="center"/>
        <w:rPr>
          <w:sz w:val="24"/>
          <w:szCs w:val="24"/>
          <w:lang w:val="ru-RU"/>
        </w:rPr>
      </w:pPr>
      <w:r w:rsidRPr="009D3A0D">
        <w:rPr>
          <w:sz w:val="24"/>
          <w:szCs w:val="24"/>
          <w:lang w:val="ru-RU"/>
        </w:rPr>
        <w:t>подпись, дата</w:t>
      </w:r>
    </w:p>
    <w:p w:rsidR="00305B67" w:rsidRPr="009D3A0D" w:rsidRDefault="00305B67" w:rsidP="00305B67">
      <w:pPr>
        <w:tabs>
          <w:tab w:val="left" w:pos="3969"/>
          <w:tab w:val="left" w:pos="5245"/>
        </w:tabs>
        <w:jc w:val="center"/>
        <w:rPr>
          <w:sz w:val="24"/>
          <w:szCs w:val="24"/>
          <w:lang w:val="ru-RU"/>
        </w:rPr>
      </w:pPr>
    </w:p>
    <w:p w:rsidR="00305B67" w:rsidRPr="009D3A0D" w:rsidRDefault="00305B67" w:rsidP="00305B67">
      <w:pPr>
        <w:tabs>
          <w:tab w:val="left" w:pos="3969"/>
          <w:tab w:val="left" w:pos="5245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ст.н.с., </w:t>
      </w:r>
      <w:r w:rsidRPr="009D3A0D">
        <w:rPr>
          <w:sz w:val="24"/>
          <w:szCs w:val="24"/>
          <w:lang w:val="ru-RU"/>
        </w:rPr>
        <w:t xml:space="preserve">к.б.н. </w:t>
      </w:r>
      <w:r w:rsidRPr="0030530C">
        <w:rPr>
          <w:sz w:val="24"/>
          <w:szCs w:val="24"/>
          <w:lang w:val="ru-RU"/>
        </w:rPr>
        <w:tab/>
      </w:r>
      <w:r w:rsidRPr="009D3A0D">
        <w:rPr>
          <w:sz w:val="24"/>
          <w:szCs w:val="24"/>
          <w:lang w:val="ru-RU"/>
        </w:rPr>
        <w:t>______________________</w:t>
      </w:r>
      <w:r w:rsidRPr="009D3A0D">
        <w:rPr>
          <w:color w:val="000000"/>
          <w:sz w:val="24"/>
          <w:szCs w:val="24"/>
          <w:lang w:val="ru-RU"/>
        </w:rPr>
        <w:t xml:space="preserve"> </w:t>
      </w:r>
      <w:r w:rsidRPr="0030530C">
        <w:rPr>
          <w:color w:val="000000"/>
          <w:sz w:val="24"/>
          <w:szCs w:val="24"/>
          <w:lang w:val="ru-RU"/>
        </w:rPr>
        <w:t>Липец Е.Н.</w:t>
      </w:r>
    </w:p>
    <w:p w:rsidR="00305B67" w:rsidRPr="009D3A0D" w:rsidRDefault="00305B67" w:rsidP="00305B67">
      <w:pPr>
        <w:tabs>
          <w:tab w:val="left" w:pos="3969"/>
          <w:tab w:val="left" w:pos="5245"/>
        </w:tabs>
        <w:jc w:val="center"/>
        <w:rPr>
          <w:sz w:val="24"/>
          <w:szCs w:val="24"/>
          <w:lang w:val="ru-RU"/>
        </w:rPr>
      </w:pPr>
      <w:r w:rsidRPr="009D3A0D">
        <w:rPr>
          <w:sz w:val="24"/>
          <w:szCs w:val="24"/>
          <w:lang w:val="ru-RU"/>
        </w:rPr>
        <w:t>подпись, дата</w:t>
      </w:r>
    </w:p>
    <w:p w:rsidR="00305B67" w:rsidRDefault="00305B67" w:rsidP="00305B67">
      <w:pPr>
        <w:tabs>
          <w:tab w:val="left" w:pos="3969"/>
          <w:tab w:val="left" w:pos="5245"/>
        </w:tabs>
        <w:jc w:val="center"/>
        <w:rPr>
          <w:sz w:val="24"/>
          <w:szCs w:val="24"/>
          <w:lang w:val="ru-RU"/>
        </w:rPr>
      </w:pPr>
    </w:p>
    <w:p w:rsidR="00305B67" w:rsidRPr="009D3A0D" w:rsidRDefault="00305B67" w:rsidP="00305B67">
      <w:pPr>
        <w:tabs>
          <w:tab w:val="left" w:pos="3969"/>
          <w:tab w:val="left" w:pos="5245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н.с.</w:t>
      </w:r>
      <w:r w:rsidR="00946222">
        <w:rPr>
          <w:sz w:val="24"/>
          <w:szCs w:val="24"/>
          <w:lang w:val="ru-RU"/>
        </w:rPr>
        <w:t>, к.б.н.</w:t>
      </w:r>
      <w:r w:rsidRPr="009D3A0D">
        <w:rPr>
          <w:sz w:val="24"/>
          <w:szCs w:val="24"/>
          <w:lang w:val="ru-RU"/>
        </w:rPr>
        <w:t xml:space="preserve"> </w:t>
      </w:r>
      <w:r w:rsidRPr="009D3A0D">
        <w:rPr>
          <w:sz w:val="24"/>
          <w:szCs w:val="24"/>
          <w:lang w:val="ru-RU"/>
        </w:rPr>
        <w:tab/>
        <w:t xml:space="preserve">______________________ </w:t>
      </w:r>
      <w:r w:rsidRPr="009D3A0D">
        <w:rPr>
          <w:color w:val="000000"/>
          <w:sz w:val="24"/>
          <w:szCs w:val="24"/>
          <w:lang w:val="ru-RU"/>
        </w:rPr>
        <w:t>Колядко</w:t>
      </w:r>
      <w:r w:rsidRPr="009D3A0D">
        <w:rPr>
          <w:sz w:val="24"/>
          <w:szCs w:val="24"/>
          <w:lang w:val="ru-RU"/>
        </w:rPr>
        <w:t xml:space="preserve"> В.Н.</w:t>
      </w:r>
    </w:p>
    <w:p w:rsidR="00305B67" w:rsidRDefault="00305B67" w:rsidP="00305B67">
      <w:pPr>
        <w:tabs>
          <w:tab w:val="left" w:pos="5245"/>
        </w:tabs>
        <w:jc w:val="center"/>
        <w:rPr>
          <w:sz w:val="24"/>
          <w:szCs w:val="24"/>
          <w:lang w:val="ru-RU"/>
        </w:rPr>
      </w:pPr>
      <w:r w:rsidRPr="009D3A0D">
        <w:rPr>
          <w:sz w:val="24"/>
          <w:szCs w:val="24"/>
          <w:lang w:val="ru-RU"/>
        </w:rPr>
        <w:t>подпись, дата</w:t>
      </w:r>
    </w:p>
    <w:p w:rsidR="004B7BC8" w:rsidRPr="009D3A0D" w:rsidRDefault="004B7BC8" w:rsidP="004B7BC8">
      <w:pPr>
        <w:tabs>
          <w:tab w:val="left" w:pos="3969"/>
          <w:tab w:val="left" w:pos="5245"/>
        </w:tabs>
        <w:jc w:val="center"/>
        <w:rPr>
          <w:sz w:val="24"/>
          <w:szCs w:val="24"/>
          <w:lang w:val="ru-RU"/>
        </w:rPr>
      </w:pPr>
    </w:p>
    <w:p w:rsidR="004B7BC8" w:rsidRPr="009D3A0D" w:rsidRDefault="00946222" w:rsidP="004B7BC8">
      <w:pPr>
        <w:tabs>
          <w:tab w:val="left" w:pos="3969"/>
          <w:tab w:val="left" w:pos="5245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вед</w:t>
      </w:r>
      <w:r w:rsidR="004B7BC8">
        <w:rPr>
          <w:sz w:val="24"/>
          <w:szCs w:val="24"/>
          <w:lang w:val="ru-RU"/>
        </w:rPr>
        <w:t xml:space="preserve">.н.с., </w:t>
      </w:r>
      <w:r w:rsidR="004B7BC8" w:rsidRPr="009D3A0D">
        <w:rPr>
          <w:sz w:val="24"/>
          <w:szCs w:val="24"/>
          <w:lang w:val="ru-RU"/>
        </w:rPr>
        <w:t>к.б.н.</w:t>
      </w:r>
      <w:r w:rsidR="004B7BC8" w:rsidRPr="0030530C">
        <w:rPr>
          <w:sz w:val="24"/>
          <w:szCs w:val="24"/>
          <w:lang w:val="ru-RU"/>
        </w:rPr>
        <w:tab/>
      </w:r>
      <w:r w:rsidR="004B7BC8" w:rsidRPr="009D3A0D">
        <w:rPr>
          <w:sz w:val="24"/>
          <w:szCs w:val="24"/>
          <w:lang w:val="ru-RU"/>
        </w:rPr>
        <w:t>______________________ Баландина А.Н.</w:t>
      </w:r>
    </w:p>
    <w:p w:rsidR="004B7BC8" w:rsidRDefault="004B7BC8" w:rsidP="004B7BC8">
      <w:pPr>
        <w:tabs>
          <w:tab w:val="left" w:pos="3969"/>
          <w:tab w:val="left" w:pos="5245"/>
        </w:tabs>
        <w:jc w:val="center"/>
        <w:rPr>
          <w:sz w:val="24"/>
          <w:szCs w:val="24"/>
          <w:lang w:val="ru-RU"/>
        </w:rPr>
      </w:pPr>
      <w:r w:rsidRPr="009D3A0D">
        <w:rPr>
          <w:sz w:val="24"/>
          <w:szCs w:val="24"/>
          <w:lang w:val="ru-RU"/>
        </w:rPr>
        <w:t>подпись, дата</w:t>
      </w:r>
    </w:p>
    <w:p w:rsidR="00197821" w:rsidRDefault="00197821" w:rsidP="004B7BC8">
      <w:pPr>
        <w:tabs>
          <w:tab w:val="left" w:pos="3969"/>
          <w:tab w:val="left" w:pos="5245"/>
        </w:tabs>
        <w:jc w:val="center"/>
        <w:rPr>
          <w:sz w:val="24"/>
          <w:szCs w:val="24"/>
          <w:lang w:val="ru-RU"/>
        </w:rPr>
      </w:pPr>
    </w:p>
    <w:p w:rsidR="00197821" w:rsidRPr="009D3A0D" w:rsidRDefault="00197821" w:rsidP="00197821">
      <w:pPr>
        <w:tabs>
          <w:tab w:val="left" w:pos="3969"/>
          <w:tab w:val="left" w:pos="5245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вед.н.с., </w:t>
      </w:r>
      <w:r w:rsidRPr="009D3A0D">
        <w:rPr>
          <w:sz w:val="24"/>
          <w:szCs w:val="24"/>
          <w:lang w:val="ru-RU"/>
        </w:rPr>
        <w:t xml:space="preserve">к.б.н. </w:t>
      </w:r>
      <w:r w:rsidRPr="0030530C">
        <w:rPr>
          <w:sz w:val="24"/>
          <w:szCs w:val="24"/>
          <w:lang w:val="ru-RU"/>
        </w:rPr>
        <w:tab/>
      </w:r>
      <w:r w:rsidRPr="009D3A0D">
        <w:rPr>
          <w:sz w:val="24"/>
          <w:szCs w:val="24"/>
          <w:lang w:val="ru-RU"/>
        </w:rPr>
        <w:t>______________________ Шибеко А.М.</w:t>
      </w:r>
    </w:p>
    <w:p w:rsidR="00197821" w:rsidRPr="009D3A0D" w:rsidRDefault="00197821" w:rsidP="00197821">
      <w:pPr>
        <w:tabs>
          <w:tab w:val="left" w:pos="3969"/>
          <w:tab w:val="left" w:pos="5245"/>
        </w:tabs>
        <w:jc w:val="center"/>
        <w:rPr>
          <w:sz w:val="24"/>
          <w:szCs w:val="24"/>
          <w:lang w:val="ru-RU"/>
        </w:rPr>
      </w:pPr>
      <w:r w:rsidRPr="009D3A0D">
        <w:rPr>
          <w:sz w:val="24"/>
          <w:szCs w:val="24"/>
          <w:lang w:val="ru-RU"/>
        </w:rPr>
        <w:t>подпись, дата</w:t>
      </w:r>
    </w:p>
    <w:p w:rsidR="00197821" w:rsidRDefault="00197821" w:rsidP="00197821">
      <w:pPr>
        <w:tabs>
          <w:tab w:val="left" w:pos="3969"/>
          <w:tab w:val="left" w:pos="5245"/>
        </w:tabs>
        <w:rPr>
          <w:sz w:val="24"/>
          <w:szCs w:val="24"/>
          <w:lang w:val="ru-RU"/>
        </w:rPr>
      </w:pPr>
    </w:p>
    <w:p w:rsidR="00197821" w:rsidRPr="009D3A0D" w:rsidRDefault="00197821" w:rsidP="004B7BC8">
      <w:pPr>
        <w:tabs>
          <w:tab w:val="left" w:pos="3969"/>
          <w:tab w:val="left" w:pos="5245"/>
        </w:tabs>
        <w:jc w:val="center"/>
        <w:rPr>
          <w:sz w:val="24"/>
          <w:szCs w:val="24"/>
          <w:lang w:val="ru-RU"/>
        </w:rPr>
      </w:pPr>
    </w:p>
    <w:p w:rsidR="004B7BC8" w:rsidRPr="009D3A0D" w:rsidRDefault="004B7BC8" w:rsidP="004B7BC8">
      <w:pPr>
        <w:tabs>
          <w:tab w:val="left" w:pos="3969"/>
          <w:tab w:val="left" w:pos="5245"/>
        </w:tabs>
        <w:jc w:val="center"/>
        <w:rPr>
          <w:sz w:val="24"/>
          <w:szCs w:val="24"/>
          <w:lang w:val="ru-RU"/>
        </w:rPr>
      </w:pPr>
    </w:p>
    <w:p w:rsidR="004B7BC8" w:rsidRPr="009D3A0D" w:rsidRDefault="004B7BC8" w:rsidP="00305B67">
      <w:pPr>
        <w:tabs>
          <w:tab w:val="left" w:pos="5245"/>
        </w:tabs>
        <w:jc w:val="center"/>
        <w:rPr>
          <w:sz w:val="24"/>
          <w:szCs w:val="24"/>
          <w:lang w:val="ru-RU"/>
        </w:rPr>
      </w:pPr>
    </w:p>
    <w:p w:rsidR="00305B67" w:rsidRPr="009D3A0D" w:rsidRDefault="00305B67" w:rsidP="00305B67">
      <w:pPr>
        <w:jc w:val="center"/>
        <w:rPr>
          <w:sz w:val="24"/>
          <w:szCs w:val="24"/>
          <w:lang w:val="ru-RU"/>
        </w:rPr>
      </w:pPr>
    </w:p>
    <w:p w:rsidR="00305B67" w:rsidRPr="009D3A0D" w:rsidRDefault="00305B67" w:rsidP="00305B67">
      <w:pPr>
        <w:spacing w:after="160" w:line="259" w:lineRule="auto"/>
        <w:jc w:val="left"/>
        <w:rPr>
          <w:sz w:val="24"/>
          <w:szCs w:val="24"/>
          <w:lang w:val="ru-RU"/>
        </w:rPr>
      </w:pPr>
      <w:r w:rsidRPr="009D3A0D">
        <w:rPr>
          <w:sz w:val="24"/>
          <w:szCs w:val="24"/>
          <w:lang w:val="ru-RU"/>
        </w:rPr>
        <w:br w:type="page"/>
      </w:r>
    </w:p>
    <w:p w:rsidR="00ED3DC2" w:rsidRPr="00BF340D" w:rsidRDefault="00ED3DC2" w:rsidP="00ED3DC2">
      <w:pPr>
        <w:spacing w:line="360" w:lineRule="auto"/>
        <w:ind w:firstLine="540"/>
        <w:rPr>
          <w:sz w:val="24"/>
          <w:szCs w:val="24"/>
          <w:lang w:val="ru-RU"/>
        </w:rPr>
      </w:pPr>
      <w:r w:rsidRPr="00BF340D">
        <w:rPr>
          <w:b/>
          <w:sz w:val="24"/>
          <w:szCs w:val="24"/>
          <w:lang w:val="ru-RU"/>
        </w:rPr>
        <w:lastRenderedPageBreak/>
        <w:t>Реферат</w:t>
      </w:r>
      <w:r w:rsidRPr="00BF340D">
        <w:rPr>
          <w:sz w:val="24"/>
          <w:szCs w:val="24"/>
          <w:lang w:val="ru-RU"/>
        </w:rPr>
        <w:t xml:space="preserve"> </w:t>
      </w:r>
    </w:p>
    <w:p w:rsidR="00ED3DC2" w:rsidRPr="00BF340D" w:rsidRDefault="00ED3DC2" w:rsidP="00ED3DC2">
      <w:pPr>
        <w:rPr>
          <w:sz w:val="24"/>
          <w:szCs w:val="24"/>
          <w:highlight w:val="yellow"/>
          <w:lang w:val="ru-RU"/>
        </w:rPr>
      </w:pPr>
      <w:r w:rsidRPr="009B33F1">
        <w:rPr>
          <w:sz w:val="24"/>
          <w:szCs w:val="24"/>
          <w:lang w:val="ru-RU"/>
        </w:rPr>
        <w:t xml:space="preserve">Отчет </w:t>
      </w:r>
      <w:r w:rsidR="00034FB1" w:rsidRPr="009B33F1">
        <w:rPr>
          <w:sz w:val="24"/>
          <w:szCs w:val="24"/>
          <w:lang w:val="ru-RU"/>
        </w:rPr>
        <w:t>1</w:t>
      </w:r>
      <w:r w:rsidR="009B33F1" w:rsidRPr="009B33F1">
        <w:rPr>
          <w:sz w:val="24"/>
          <w:szCs w:val="24"/>
          <w:lang w:val="ru-RU"/>
        </w:rPr>
        <w:t>3</w:t>
      </w:r>
      <w:r w:rsidRPr="009B33F1">
        <w:rPr>
          <w:sz w:val="24"/>
          <w:szCs w:val="24"/>
          <w:lang w:val="ru-RU"/>
        </w:rPr>
        <w:t xml:space="preserve"> стр., </w:t>
      </w:r>
      <w:r w:rsidR="00034FB1" w:rsidRPr="009B33F1">
        <w:rPr>
          <w:sz w:val="24"/>
          <w:szCs w:val="24"/>
          <w:lang w:val="ru-RU"/>
        </w:rPr>
        <w:t>1</w:t>
      </w:r>
      <w:r w:rsidRPr="009B33F1">
        <w:rPr>
          <w:sz w:val="24"/>
          <w:szCs w:val="24"/>
          <w:lang w:val="ru-RU"/>
        </w:rPr>
        <w:t xml:space="preserve"> ч., </w:t>
      </w:r>
      <w:r w:rsidR="009B33F1" w:rsidRPr="009B33F1">
        <w:rPr>
          <w:sz w:val="24"/>
          <w:szCs w:val="24"/>
          <w:lang w:val="ru-RU"/>
        </w:rPr>
        <w:t>5</w:t>
      </w:r>
      <w:r w:rsidRPr="009B33F1">
        <w:rPr>
          <w:sz w:val="24"/>
          <w:szCs w:val="24"/>
          <w:lang w:val="ru-RU"/>
        </w:rPr>
        <w:t xml:space="preserve"> рис</w:t>
      </w:r>
      <w:r w:rsidRPr="00BF340D">
        <w:rPr>
          <w:sz w:val="24"/>
          <w:szCs w:val="24"/>
          <w:lang w:val="ru-RU"/>
        </w:rPr>
        <w:t xml:space="preserve">., </w:t>
      </w:r>
      <w:r w:rsidR="004637B1">
        <w:rPr>
          <w:sz w:val="24"/>
          <w:szCs w:val="24"/>
          <w:lang w:val="ru-RU"/>
        </w:rPr>
        <w:t>8</w:t>
      </w:r>
      <w:r w:rsidR="00DB4377">
        <w:rPr>
          <w:sz w:val="24"/>
          <w:szCs w:val="24"/>
          <w:lang w:val="ru-RU"/>
        </w:rPr>
        <w:t xml:space="preserve"> источников</w:t>
      </w:r>
      <w:r w:rsidRPr="00BF340D">
        <w:rPr>
          <w:sz w:val="24"/>
          <w:szCs w:val="24"/>
          <w:lang w:val="ru-RU"/>
        </w:rPr>
        <w:t>.</w:t>
      </w:r>
    </w:p>
    <w:p w:rsidR="00ED3DC2" w:rsidRPr="00BF340D" w:rsidRDefault="00ED3DC2" w:rsidP="00ED3DC2">
      <w:pPr>
        <w:rPr>
          <w:sz w:val="24"/>
          <w:szCs w:val="24"/>
          <w:lang w:val="ru-RU"/>
        </w:rPr>
      </w:pPr>
      <w:r w:rsidRPr="00BF340D">
        <w:rPr>
          <w:sz w:val="24"/>
          <w:szCs w:val="24"/>
          <w:lang w:val="ru-RU"/>
        </w:rPr>
        <w:t xml:space="preserve">Ключевые слова: </w:t>
      </w:r>
      <w:r w:rsidRPr="00034FB1">
        <w:rPr>
          <w:sz w:val="24"/>
          <w:szCs w:val="24"/>
          <w:lang w:val="ru-RU"/>
        </w:rPr>
        <w:t>свертывание крови, тромбин, пространственное распределение факторов свертывания, математическое моделирование.</w:t>
      </w:r>
    </w:p>
    <w:p w:rsidR="00034FB1" w:rsidRDefault="00034FB1" w:rsidP="00034FB1">
      <w:pPr>
        <w:ind w:firstLine="53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Цель исследования – разработка </w:t>
      </w:r>
      <w:r w:rsidRPr="00034FB1">
        <w:rPr>
          <w:sz w:val="24"/>
          <w:szCs w:val="24"/>
          <w:lang w:val="ru-RU"/>
        </w:rPr>
        <w:t xml:space="preserve"> методики регистрации пространственно-временного распределения тромбина в цельной крови</w:t>
      </w:r>
      <w:r>
        <w:rPr>
          <w:sz w:val="24"/>
          <w:szCs w:val="24"/>
          <w:lang w:val="ru-RU"/>
        </w:rPr>
        <w:t xml:space="preserve">. </w:t>
      </w:r>
      <w:r w:rsidRPr="00034FB1">
        <w:rPr>
          <w:sz w:val="24"/>
          <w:szCs w:val="24"/>
          <w:lang w:val="ru-RU"/>
        </w:rPr>
        <w:t xml:space="preserve"> </w:t>
      </w:r>
    </w:p>
    <w:p w:rsidR="0073104B" w:rsidRPr="0073104B" w:rsidRDefault="0073104B" w:rsidP="0073104B">
      <w:pPr>
        <w:ind w:firstLine="539"/>
        <w:rPr>
          <w:sz w:val="24"/>
          <w:szCs w:val="24"/>
          <w:lang w:val="ru-RU"/>
        </w:rPr>
      </w:pPr>
      <w:r w:rsidRPr="0073104B">
        <w:rPr>
          <w:sz w:val="24"/>
          <w:szCs w:val="24"/>
          <w:lang w:val="ru-RU"/>
        </w:rPr>
        <w:t>В процессе разработки методики регистрации пространственно-временного распределения тромбина в цельной крови мы выяснили, что использование цельной крови в качестве исследуемого образца накладывает определенные требования к процедуре пробоподготовки, времени эксперимента. Экспериментальные исследования позволили подобрать оптимальные параметры регистрации сигнала, а математическое моделирование – разработать корректные алгоритмы расчета тромбина. На данном этапе исследований мы использовали компьютерные симуляции отдельных этапов свертывания в цельной крови, что позволило лучше понять механизмы, управляющие гемостазом.</w:t>
      </w:r>
    </w:p>
    <w:p w:rsidR="0073104B" w:rsidRPr="0073104B" w:rsidRDefault="0073104B" w:rsidP="0073104B">
      <w:pPr>
        <w:ind w:firstLine="539"/>
        <w:rPr>
          <w:sz w:val="24"/>
          <w:szCs w:val="24"/>
          <w:lang w:val="ru-RU"/>
        </w:rPr>
      </w:pPr>
      <w:r w:rsidRPr="0073104B">
        <w:rPr>
          <w:sz w:val="24"/>
          <w:szCs w:val="24"/>
          <w:lang w:val="ru-RU"/>
        </w:rPr>
        <w:t xml:space="preserve">При помощи математического моделирования мы показали, что при образовании тернарных комплексов (например, фактор Х – фактор IXa – фактор VIIIa) активируемый фактор может приходить из объема и садиться прямо на активирующий комплекс, не занимая места на фосфолипидах. </w:t>
      </w:r>
    </w:p>
    <w:p w:rsidR="0073104B" w:rsidRPr="0073104B" w:rsidRDefault="0073104B" w:rsidP="0073104B">
      <w:pPr>
        <w:ind w:firstLine="539"/>
        <w:rPr>
          <w:sz w:val="24"/>
          <w:szCs w:val="24"/>
          <w:lang w:val="ru-RU"/>
        </w:rPr>
      </w:pPr>
      <w:r w:rsidRPr="0073104B">
        <w:rPr>
          <w:sz w:val="24"/>
          <w:szCs w:val="24"/>
          <w:lang w:val="ru-RU"/>
        </w:rPr>
        <w:t>Также мы исследовали влияние высокоаффинных сайтов связывания на диффузию факторов Ха и IXa в тромбоцитарном сгустке и показали, что для фактора IXa эффект высокоаффинных сайтов связывания по сравнению с низкоаффинными отсутствует, а для фактора Ха наличие высокоаффинных сайтов связывания приводит к уменьшению эффективного коэффициента диффузии в 1.5 раз в отсутствии протромбина и в 2 раз в его присутствии. Однако на распределение общего фактора Ха (свободного, связанного с фософлипидами, находящегося в комплексе с фактором Va) влияние высокоаффинных сайтов связывания минимально.</w:t>
      </w:r>
    </w:p>
    <w:p w:rsidR="0073104B" w:rsidRPr="000B2D15" w:rsidRDefault="0073104B" w:rsidP="0073104B">
      <w:pPr>
        <w:ind w:firstLine="539"/>
        <w:rPr>
          <w:sz w:val="24"/>
          <w:szCs w:val="24"/>
          <w:lang w:val="ru-RU"/>
        </w:rPr>
      </w:pPr>
      <w:r w:rsidRPr="0073104B">
        <w:rPr>
          <w:sz w:val="24"/>
          <w:szCs w:val="24"/>
          <w:lang w:val="ru-RU"/>
        </w:rPr>
        <w:t>Таким образом, диффузия факторов в тромбоцитарном тромбе определяется их связыванием с доступной фосфолипидной поверхностью, и протромбином, который конкурирует за фософлипидную поверхность с другими факторами свертывания.</w:t>
      </w:r>
    </w:p>
    <w:p w:rsidR="001714A1" w:rsidRPr="00305B67" w:rsidRDefault="001714A1" w:rsidP="001714A1">
      <w:pPr>
        <w:pStyle w:val="12"/>
        <w:pageBreakBefore/>
        <w:jc w:val="center"/>
        <w:rPr>
          <w:rFonts w:ascii="Times New Roman" w:hAnsi="Times New Roman"/>
          <w:color w:val="auto"/>
          <w:lang w:val="ru-RU"/>
        </w:rPr>
      </w:pPr>
      <w:r w:rsidRPr="00305B67">
        <w:rPr>
          <w:rFonts w:ascii="Times New Roman" w:hAnsi="Times New Roman"/>
          <w:color w:val="auto"/>
          <w:lang w:val="ru-RU"/>
        </w:rPr>
        <w:lastRenderedPageBreak/>
        <w:t>Содержание</w:t>
      </w:r>
    </w:p>
    <w:bookmarkStart w:id="0" w:name="_GoBack"/>
    <w:bookmarkEnd w:id="0"/>
    <w:p w:rsidR="008A3E61" w:rsidRDefault="001714A1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r w:rsidRPr="0042459A">
        <w:rPr>
          <w:sz w:val="28"/>
        </w:rPr>
        <w:fldChar w:fldCharType="begin"/>
      </w:r>
      <w:r w:rsidRPr="0042459A">
        <w:rPr>
          <w:sz w:val="28"/>
          <w:lang w:val="ru-RU"/>
        </w:rPr>
        <w:instrText xml:space="preserve"> </w:instrText>
      </w:r>
      <w:r w:rsidRPr="0042459A">
        <w:rPr>
          <w:sz w:val="28"/>
        </w:rPr>
        <w:instrText>TOC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o</w:instrText>
      </w:r>
      <w:r w:rsidRPr="0042459A">
        <w:rPr>
          <w:sz w:val="28"/>
          <w:lang w:val="ru-RU"/>
        </w:rPr>
        <w:instrText xml:space="preserve"> "1-3" \</w:instrText>
      </w:r>
      <w:r w:rsidRPr="0042459A">
        <w:rPr>
          <w:sz w:val="28"/>
        </w:rPr>
        <w:instrText>h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z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u</w:instrText>
      </w:r>
      <w:r w:rsidRPr="0042459A">
        <w:rPr>
          <w:sz w:val="28"/>
          <w:lang w:val="ru-RU"/>
        </w:rPr>
        <w:instrText xml:space="preserve"> </w:instrText>
      </w:r>
      <w:r w:rsidRPr="0042459A">
        <w:rPr>
          <w:sz w:val="28"/>
        </w:rPr>
        <w:fldChar w:fldCharType="separate"/>
      </w:r>
      <w:hyperlink w:anchor="_Toc505098062" w:history="1">
        <w:r w:rsidR="008A3E61" w:rsidRPr="00314B53">
          <w:rPr>
            <w:rStyle w:val="a9"/>
            <w:noProof/>
            <w:lang w:val="ru-RU"/>
          </w:rPr>
          <w:t>Обозначения и сокращения</w:t>
        </w:r>
        <w:r w:rsidR="008A3E61">
          <w:rPr>
            <w:noProof/>
            <w:webHidden/>
          </w:rPr>
          <w:tab/>
        </w:r>
        <w:r w:rsidR="008A3E61">
          <w:rPr>
            <w:noProof/>
            <w:webHidden/>
          </w:rPr>
          <w:fldChar w:fldCharType="begin"/>
        </w:r>
        <w:r w:rsidR="008A3E61">
          <w:rPr>
            <w:noProof/>
            <w:webHidden/>
          </w:rPr>
          <w:instrText xml:space="preserve"> PAGEREF _Toc505098062 \h </w:instrText>
        </w:r>
        <w:r w:rsidR="008A3E61">
          <w:rPr>
            <w:noProof/>
            <w:webHidden/>
          </w:rPr>
        </w:r>
        <w:r w:rsidR="008A3E61">
          <w:rPr>
            <w:noProof/>
            <w:webHidden/>
          </w:rPr>
          <w:fldChar w:fldCharType="separate"/>
        </w:r>
        <w:r w:rsidR="008A3E61">
          <w:rPr>
            <w:noProof/>
            <w:webHidden/>
          </w:rPr>
          <w:t>5</w:t>
        </w:r>
        <w:r w:rsidR="008A3E61">
          <w:rPr>
            <w:noProof/>
            <w:webHidden/>
          </w:rPr>
          <w:fldChar w:fldCharType="end"/>
        </w:r>
      </w:hyperlink>
    </w:p>
    <w:p w:rsidR="008A3E61" w:rsidRDefault="008A3E61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98063" w:history="1">
        <w:r w:rsidRPr="00314B53">
          <w:rPr>
            <w:rStyle w:val="a9"/>
            <w:noProof/>
            <w:lang w:val="ru-RU"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_Toc505098063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A3E61" w:rsidRDefault="008A3E61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98064" w:history="1">
        <w:r w:rsidRPr="00314B53">
          <w:rPr>
            <w:rStyle w:val="a9"/>
            <w:noProof/>
            <w:lang w:val="ru-RU"/>
          </w:rPr>
          <w:t>Основная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_Toc505098064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A3E61" w:rsidRDefault="008A3E61">
      <w:pPr>
        <w:pStyle w:val="3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98065" w:history="1">
        <w:r w:rsidRPr="00314B53">
          <w:rPr>
            <w:rStyle w:val="a9"/>
            <w:noProof/>
            <w:lang w:val="ru-RU"/>
          </w:rPr>
          <w:t>1.</w:t>
        </w:r>
        <w:r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314B53">
          <w:rPr>
            <w:rStyle w:val="a9"/>
            <w:noProof/>
            <w:lang w:val="ru-RU"/>
          </w:rPr>
          <w:t>Изучение возможных последовательностей молекулярных событий при сборке комплекса внутренней теназы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_Toc505098065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A3E61" w:rsidRDefault="008A3E61">
      <w:pPr>
        <w:pStyle w:val="3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98066" w:history="1">
        <w:r w:rsidRPr="00314B53">
          <w:rPr>
            <w:rStyle w:val="a9"/>
            <w:noProof/>
            <w:lang w:val="ru-RU"/>
          </w:rPr>
          <w:t>2.</w:t>
        </w:r>
        <w:r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314B53">
          <w:rPr>
            <w:rStyle w:val="a9"/>
            <w:noProof/>
            <w:lang w:val="ru-RU"/>
          </w:rPr>
          <w:t xml:space="preserve">Влияние тромбоцитов на  диффузию факторов свертывания Ха и </w:t>
        </w:r>
        <w:r w:rsidRPr="00314B53">
          <w:rPr>
            <w:rStyle w:val="a9"/>
            <w:noProof/>
          </w:rPr>
          <w:t>IXa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_Toc505098066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A3E61" w:rsidRDefault="008A3E61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98067" w:history="1">
        <w:r w:rsidRPr="00314B53">
          <w:rPr>
            <w:rStyle w:val="a9"/>
            <w:noProof/>
            <w:lang w:val="ru-RU"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_Toc505098067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A3E61" w:rsidRDefault="008A3E61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98068" w:history="1">
        <w:r w:rsidRPr="00314B53">
          <w:rPr>
            <w:rStyle w:val="a9"/>
            <w:noProof/>
            <w:lang w:val="ru-RU"/>
          </w:rPr>
          <w:t>Список использованных источников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_Toc505098068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714A1" w:rsidRPr="001714A1" w:rsidRDefault="001714A1" w:rsidP="001714A1">
      <w:pPr>
        <w:ind w:firstLine="539"/>
        <w:rPr>
          <w:sz w:val="24"/>
          <w:szCs w:val="24"/>
        </w:rPr>
      </w:pPr>
      <w:r w:rsidRPr="0042459A">
        <w:rPr>
          <w:b/>
          <w:bCs/>
          <w:sz w:val="28"/>
        </w:rPr>
        <w:fldChar w:fldCharType="end"/>
      </w:r>
    </w:p>
    <w:p w:rsidR="00ED3DC2" w:rsidRDefault="00ED3DC2" w:rsidP="00673B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46222" w:rsidRPr="008419EA" w:rsidRDefault="00946222" w:rsidP="00946222">
      <w:pPr>
        <w:pStyle w:val="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1" w:name="_Toc437480266"/>
      <w:bookmarkStart w:id="2" w:name="_Toc505006541"/>
      <w:bookmarkStart w:id="3" w:name="_Toc505098062"/>
      <w:r w:rsidRPr="008419EA">
        <w:rPr>
          <w:rFonts w:ascii="Times New Roman" w:hAnsi="Times New Roman"/>
          <w:color w:val="auto"/>
          <w:sz w:val="28"/>
          <w:lang w:val="ru-RU"/>
        </w:rPr>
        <w:lastRenderedPageBreak/>
        <w:t>Обозначения и сокращения</w:t>
      </w:r>
      <w:bookmarkEnd w:id="1"/>
      <w:bookmarkEnd w:id="2"/>
      <w:bookmarkEnd w:id="3"/>
    </w:p>
    <w:p w:rsidR="00946222" w:rsidRPr="00E23ECE" w:rsidRDefault="00CF5B40" w:rsidP="00946222">
      <w:pPr>
        <w:spacing w:line="360" w:lineRule="auto"/>
        <w:rPr>
          <w:sz w:val="24"/>
          <w:lang w:val="ru-RU"/>
        </w:rPr>
      </w:pPr>
      <w:r w:rsidRPr="00E23ECE">
        <w:rPr>
          <w:b/>
          <w:sz w:val="24"/>
          <w:lang w:val="ru-RU"/>
        </w:rPr>
        <w:t>ТФ</w:t>
      </w:r>
      <w:r w:rsidR="00946222" w:rsidRPr="00E23ECE">
        <w:rPr>
          <w:sz w:val="24"/>
          <w:lang w:val="ru-RU"/>
        </w:rPr>
        <w:t xml:space="preserve"> – </w:t>
      </w:r>
      <w:r w:rsidRPr="00E23ECE">
        <w:rPr>
          <w:sz w:val="24"/>
          <w:lang w:val="ru-RU"/>
        </w:rPr>
        <w:t>Тканевый фактор</w:t>
      </w:r>
    </w:p>
    <w:p w:rsidR="00ED3DC2" w:rsidRPr="00E23ECE" w:rsidRDefault="00ED3DC2" w:rsidP="00946222">
      <w:pPr>
        <w:pStyle w:val="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4" w:name="_Toc505098063"/>
      <w:r w:rsidRPr="00E23ECE">
        <w:rPr>
          <w:rFonts w:ascii="Times New Roman" w:hAnsi="Times New Roman"/>
          <w:color w:val="auto"/>
          <w:sz w:val="28"/>
          <w:lang w:val="ru-RU"/>
        </w:rPr>
        <w:lastRenderedPageBreak/>
        <w:t>Введение</w:t>
      </w:r>
      <w:bookmarkEnd w:id="4"/>
    </w:p>
    <w:p w:rsidR="0073104B" w:rsidRPr="00E23ECE" w:rsidRDefault="0073104B" w:rsidP="0073104B">
      <w:pPr>
        <w:spacing w:line="360" w:lineRule="auto"/>
        <w:ind w:firstLine="708"/>
        <w:rPr>
          <w:sz w:val="24"/>
          <w:szCs w:val="24"/>
          <w:lang w:val="ru-RU"/>
        </w:rPr>
      </w:pPr>
      <w:r w:rsidRPr="00E23ECE">
        <w:rPr>
          <w:sz w:val="24"/>
          <w:szCs w:val="24"/>
          <w:lang w:val="ru-RU"/>
        </w:rPr>
        <w:t>Регистрация протекания свертывания в цельной крови связана с рядом особенностей, отсутствующих в случае, когда свертывание исследуется в плазме крови. Наличие эритроцитов делает среду оптически непрозрачной, а присутствующие в образце тромбоциты могут агрегировать, образуя сгусток, распределение тромбина в котором может отличаться от распределения в фибриновом сгустке.</w:t>
      </w:r>
    </w:p>
    <w:p w:rsidR="0073104B" w:rsidRPr="00E23ECE" w:rsidRDefault="0073104B" w:rsidP="0073104B">
      <w:pPr>
        <w:spacing w:line="360" w:lineRule="auto"/>
        <w:ind w:firstLine="708"/>
        <w:rPr>
          <w:sz w:val="24"/>
          <w:szCs w:val="24"/>
          <w:lang w:val="ru-RU"/>
        </w:rPr>
      </w:pPr>
      <w:r w:rsidRPr="00E23ECE">
        <w:rPr>
          <w:sz w:val="24"/>
          <w:szCs w:val="24"/>
          <w:lang w:val="ru-RU"/>
        </w:rPr>
        <w:t>Тромбин является основным регулятором системы свертывания крови, отвечающим не только за превращение фибриногена в плотный сгусток и активацию тромбоцитов, но и участвующим как в реакциях, приводящих к ускорению свертывания, таких как активация факторов V, VIII, так и в реакциях, приводящих к подавлению свертывания – активации протеина С. Основным активатором тромбина является комплекс факторов Ха и Va (XaVa) – протромбиназа. Поэтому распределение факторов Va и Ха будет являться определяющим для генерации тромбина. При этом, активация фактора Ха регулируется комплексами внешней и внутренней теназы. Внешняя теназа состоит из фактора VIIa и гликопротеина тканевого фактора (ТФ) (Silverberg et al, JBC 1977), находящегося на поверхности, вступающей в контакт с кровью в местах повреждения сосудистого русла. Так как этот источник фактора Ха локализован в пространстве, распределение активируемого им фактора Ха будет иметь диффузионный профиль. Другой источник фактора Ха – внутренняя теназа – состоит из фактора IXa и кофактора VIIIa (Hougie et al, Thromb. Diath. Haemorrh, 1967). Таким образом, локальное производство фактора Ха будет определяться распределением фактора IXa. За его производство также отвечает внешняя теназа (Osterud &amp; Rapaport, PNAS, 1977), и, соответственно, его распределение также имеет диффузионный профиль.</w:t>
      </w:r>
    </w:p>
    <w:p w:rsidR="0073104B" w:rsidRPr="00E23ECE" w:rsidRDefault="0073104B" w:rsidP="0073104B">
      <w:pPr>
        <w:spacing w:line="360" w:lineRule="auto"/>
        <w:ind w:firstLine="708"/>
        <w:rPr>
          <w:sz w:val="24"/>
          <w:szCs w:val="24"/>
          <w:lang w:val="ru-RU"/>
        </w:rPr>
      </w:pPr>
      <w:r w:rsidRPr="00E23ECE">
        <w:rPr>
          <w:sz w:val="24"/>
          <w:szCs w:val="24"/>
          <w:lang w:val="ru-RU"/>
        </w:rPr>
        <w:t xml:space="preserve">В тромбоцитарном тромбе, богатом фосфолипидной поверхностью, факторы Ха и IXa могут связываться как с фосфолипидами (для фактора Ха Kd=70 нМ (Podoplelova et al, BBA 2016; для фактора IXa Kd=540 нМ (Messer et al, JTH 2009)) (низкоаффинные сайты), так и со своими кофакторами (фактором Va (Kd=0.45 нМ (Saenko et al, JBC 1998) и VIIIа (Kd=0.09 нМ (Mathur et al, JBC 1997)), соответственно; высокоаффинные сайты). </w:t>
      </w:r>
    </w:p>
    <w:p w:rsidR="0073104B" w:rsidRPr="00E23ECE" w:rsidRDefault="0073104B" w:rsidP="0073104B">
      <w:pPr>
        <w:spacing w:line="360" w:lineRule="auto"/>
        <w:ind w:firstLine="708"/>
        <w:rPr>
          <w:sz w:val="24"/>
          <w:szCs w:val="24"/>
          <w:lang w:val="ru-RU"/>
        </w:rPr>
      </w:pPr>
      <w:r w:rsidRPr="00E23ECE">
        <w:rPr>
          <w:sz w:val="24"/>
          <w:szCs w:val="24"/>
          <w:lang w:val="ru-RU"/>
        </w:rPr>
        <w:t>Цель данного этапа – при помощи математического моделирования влияние высокоаффинных и низкоаффинных сайтов связывания не распределение факторов Ха и IXа в тромбоцитарном сгустке.</w:t>
      </w:r>
    </w:p>
    <w:p w:rsidR="001714A1" w:rsidRPr="00E23ECE" w:rsidRDefault="001714A1" w:rsidP="0099772B">
      <w:pPr>
        <w:spacing w:line="360" w:lineRule="auto"/>
        <w:ind w:firstLine="708"/>
        <w:rPr>
          <w:sz w:val="24"/>
          <w:szCs w:val="24"/>
          <w:lang w:val="ru-RU"/>
        </w:rPr>
      </w:pPr>
    </w:p>
    <w:p w:rsidR="009E4076" w:rsidRPr="00E23ECE" w:rsidRDefault="009E4076" w:rsidP="0099772B">
      <w:pPr>
        <w:pStyle w:val="2"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</w:p>
    <w:p w:rsidR="00ED3DC2" w:rsidRPr="00E23ECE" w:rsidRDefault="00ED3DC2" w:rsidP="0099772B">
      <w:pPr>
        <w:pStyle w:val="2"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5" w:name="_Toc505098064"/>
      <w:r w:rsidRPr="00E23ECE">
        <w:rPr>
          <w:rFonts w:ascii="Times New Roman" w:hAnsi="Times New Roman"/>
          <w:color w:val="auto"/>
          <w:sz w:val="28"/>
          <w:lang w:val="ru-RU"/>
        </w:rPr>
        <w:t>Основная часть</w:t>
      </w:r>
      <w:bookmarkEnd w:id="5"/>
    </w:p>
    <w:p w:rsidR="00ED3DC2" w:rsidRPr="00E23ECE" w:rsidRDefault="004C197F" w:rsidP="0099772B">
      <w:pPr>
        <w:pStyle w:val="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6" w:name="_Toc505098065"/>
      <w:r w:rsidRPr="00E23ECE">
        <w:rPr>
          <w:rFonts w:ascii="Times New Roman" w:hAnsi="Times New Roman"/>
          <w:color w:val="auto"/>
          <w:sz w:val="24"/>
          <w:szCs w:val="28"/>
          <w:lang w:val="ru-RU"/>
        </w:rPr>
        <w:t>Изучение возможных последовательностей молекулярных событий при сборке комплекса внутренней теназы</w:t>
      </w:r>
      <w:bookmarkEnd w:id="6"/>
    </w:p>
    <w:p w:rsidR="00870812" w:rsidRPr="00E23ECE" w:rsidRDefault="00870812" w:rsidP="00870812">
      <w:pPr>
        <w:spacing w:line="360" w:lineRule="auto"/>
        <w:ind w:firstLine="709"/>
        <w:rPr>
          <w:sz w:val="24"/>
          <w:szCs w:val="24"/>
          <w:lang w:val="ru-RU"/>
        </w:rPr>
      </w:pPr>
      <w:r w:rsidRPr="00E23ECE">
        <w:rPr>
          <w:sz w:val="24"/>
          <w:szCs w:val="24"/>
          <w:lang w:val="ru-RU"/>
        </w:rPr>
        <w:t>Диффузия факторов свертывания в тромбоцитарном сгустке затруднена тем, что они могут связываться с фосфолипидной поверхностью клеток. Однако пригодная для связывания площадь ограничена, и присутствующий в высокой концентрации протромбин (1400 нМ) может занимать большую ее часть, мешая связыванию других факторов. Для активации фактора Х и протромбина необходимо, чтобы комплекс протромбиназы (XaVa) или теназы (IXaVIIIa) связался с фактором II или X соответственно. На примере теназы мы выяснили, откуда фактор Х приходит в этот комплекс: с фосфолипидной поверхности или из объема крови.</w:t>
      </w:r>
    </w:p>
    <w:p w:rsidR="00870812" w:rsidRPr="00E23ECE" w:rsidRDefault="00870812" w:rsidP="00870812">
      <w:pPr>
        <w:spacing w:line="360" w:lineRule="auto"/>
        <w:ind w:firstLine="709"/>
        <w:rPr>
          <w:sz w:val="24"/>
          <w:szCs w:val="24"/>
          <w:lang w:val="ru-RU"/>
        </w:rPr>
      </w:pPr>
      <w:r w:rsidRPr="00E23ECE">
        <w:rPr>
          <w:sz w:val="24"/>
          <w:szCs w:val="24"/>
          <w:lang w:val="ru-RU"/>
        </w:rPr>
        <w:t>Для этого мы разработали 2 математические модели, описывающие активацию фактора Х внутренней теназой (рис. 1)</w:t>
      </w:r>
    </w:p>
    <w:p w:rsidR="0099772B" w:rsidRPr="00E23ECE" w:rsidRDefault="00870812" w:rsidP="00870812">
      <w:pPr>
        <w:spacing w:line="360" w:lineRule="auto"/>
        <w:jc w:val="center"/>
        <w:rPr>
          <w:sz w:val="24"/>
          <w:szCs w:val="24"/>
          <w:lang w:val="ru-RU"/>
        </w:rPr>
      </w:pPr>
      <w:r w:rsidRPr="00E23ECE">
        <w:rPr>
          <w:noProof/>
          <w:lang w:val="ru-RU" w:eastAsia="ru-RU"/>
        </w:rPr>
        <w:drawing>
          <wp:inline distT="0" distB="0" distL="0" distR="0" wp14:anchorId="15FB3F46" wp14:editId="62B72044">
            <wp:extent cx="5828400" cy="2037600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530" t="51705" r="7686" b="4290"/>
                    <a:stretch/>
                  </pic:blipFill>
                  <pic:spPr bwMode="auto">
                    <a:xfrm>
                      <a:off x="0" y="0"/>
                      <a:ext cx="5828400" cy="20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812" w:rsidRPr="00E23ECE" w:rsidRDefault="00870812" w:rsidP="00870812">
      <w:pPr>
        <w:spacing w:line="360" w:lineRule="auto"/>
        <w:jc w:val="left"/>
        <w:rPr>
          <w:sz w:val="24"/>
          <w:szCs w:val="24"/>
          <w:lang w:val="ru-RU"/>
        </w:rPr>
      </w:pPr>
      <w:r w:rsidRPr="00E23ECE">
        <w:rPr>
          <w:sz w:val="24"/>
          <w:szCs w:val="24"/>
          <w:lang w:val="ru-RU"/>
        </w:rPr>
        <w:t>Рисунок 1. Два варианта активации фактора Х внутренней теназой.</w:t>
      </w:r>
    </w:p>
    <w:p w:rsidR="00870812" w:rsidRPr="00E23ECE" w:rsidRDefault="00870812" w:rsidP="00870812">
      <w:pPr>
        <w:spacing w:line="360" w:lineRule="auto"/>
        <w:jc w:val="left"/>
        <w:rPr>
          <w:sz w:val="24"/>
          <w:szCs w:val="24"/>
          <w:lang w:val="ru-RU"/>
        </w:rPr>
      </w:pPr>
    </w:p>
    <w:p w:rsidR="00870812" w:rsidRPr="00E23ECE" w:rsidRDefault="00870812" w:rsidP="004C197F">
      <w:pPr>
        <w:spacing w:line="360" w:lineRule="auto"/>
        <w:ind w:firstLine="709"/>
        <w:rPr>
          <w:sz w:val="24"/>
          <w:szCs w:val="24"/>
          <w:lang w:val="ru-RU"/>
        </w:rPr>
      </w:pPr>
      <w:r w:rsidRPr="00E23ECE">
        <w:rPr>
          <w:sz w:val="24"/>
          <w:szCs w:val="24"/>
          <w:lang w:val="ru-RU"/>
        </w:rPr>
        <w:t>В первом случае для образования комплекса фактор Х – теназа фактору Х надо сначала связаться с фосфолипидной поверхностью, на которой находится комплекс (липидо-зависимый путь). Во втором случае фактор Х садится на комплекс из объема крови, не связываясь с фосфолипидной мембраной и не занимая на ней места (липидо-независимый путь).</w:t>
      </w:r>
    </w:p>
    <w:p w:rsidR="00870812" w:rsidRPr="00E23ECE" w:rsidRDefault="00870812" w:rsidP="004C197F">
      <w:pPr>
        <w:spacing w:line="360" w:lineRule="auto"/>
        <w:ind w:firstLine="709"/>
        <w:rPr>
          <w:sz w:val="24"/>
          <w:szCs w:val="24"/>
          <w:lang w:val="ru-RU"/>
        </w:rPr>
      </w:pPr>
      <w:r w:rsidRPr="00E23ECE">
        <w:rPr>
          <w:sz w:val="24"/>
          <w:szCs w:val="24"/>
          <w:lang w:val="ru-RU"/>
        </w:rPr>
        <w:t xml:space="preserve">Для проверки того, какая из предложенных моделей верна, мы использовали экспериментальные данные из статьи Panteleev et al, FEBS J 2006. В этих экспериментах 10 </w:t>
      </w:r>
      <w:r w:rsidRPr="00E23ECE">
        <w:rPr>
          <w:sz w:val="24"/>
          <w:szCs w:val="24"/>
          <w:lang w:val="ru-RU"/>
        </w:rPr>
        <w:lastRenderedPageBreak/>
        <w:t>нМ фактора VIIIa и 30 пМ фактора IXa активировали от 1.5 до 100 нМ фактора Х в присутствии фосфолипидов в концентрации от 0.5 до 1000 мкМ (рис. 2).</w:t>
      </w:r>
    </w:p>
    <w:p w:rsidR="00870812" w:rsidRPr="00E23ECE" w:rsidRDefault="00870812" w:rsidP="00870812">
      <w:pPr>
        <w:spacing w:line="360" w:lineRule="auto"/>
        <w:jc w:val="center"/>
        <w:rPr>
          <w:sz w:val="24"/>
          <w:szCs w:val="24"/>
          <w:lang w:val="ru-RU"/>
        </w:rPr>
      </w:pPr>
      <w:r w:rsidRPr="00E23ECE">
        <w:rPr>
          <w:noProof/>
          <w:lang w:val="ru-RU" w:eastAsia="ru-RU"/>
        </w:rPr>
        <w:drawing>
          <wp:inline distT="0" distB="0" distL="0" distR="0" wp14:anchorId="265DC79E" wp14:editId="76BFB5FD">
            <wp:extent cx="3762375" cy="2781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12" w:rsidRDefault="00870812" w:rsidP="00870812">
      <w:pPr>
        <w:spacing w:line="360" w:lineRule="auto"/>
        <w:rPr>
          <w:sz w:val="24"/>
          <w:szCs w:val="24"/>
          <w:lang w:val="ru-RU"/>
        </w:rPr>
      </w:pPr>
      <w:r w:rsidRPr="00E23ECE">
        <w:rPr>
          <w:sz w:val="24"/>
          <w:szCs w:val="24"/>
          <w:lang w:val="ru-RU"/>
        </w:rPr>
        <w:t>Рисунок 2. Зависимость скорости генерации фактора Ха от концентрации фосфолипидов. Начальная концентрация фактора VIIIa 10 нМ; фактора IXa 30 пМ. Начальная концентрация фактора Х была 1.5, 5, 10, 30, 50 и 100 нМ. Воспроизведено из Panteleev et al, FEBS J 2006.</w:t>
      </w:r>
    </w:p>
    <w:p w:rsidR="00870812" w:rsidRDefault="00870812" w:rsidP="00870812">
      <w:pPr>
        <w:spacing w:line="360" w:lineRule="auto"/>
        <w:rPr>
          <w:sz w:val="24"/>
          <w:szCs w:val="24"/>
          <w:lang w:val="ru-RU"/>
        </w:rPr>
      </w:pPr>
    </w:p>
    <w:p w:rsidR="006C1209" w:rsidRDefault="006C1209" w:rsidP="006C1209">
      <w:pPr>
        <w:spacing w:line="360" w:lineRule="auto"/>
        <w:ind w:firstLine="709"/>
        <w:rPr>
          <w:sz w:val="24"/>
          <w:szCs w:val="24"/>
          <w:lang w:val="ru-RU"/>
        </w:rPr>
      </w:pPr>
      <w:r w:rsidRPr="006C1209">
        <w:rPr>
          <w:sz w:val="24"/>
          <w:szCs w:val="24"/>
          <w:lang w:val="ru-RU"/>
        </w:rPr>
        <w:t>Результаты моделирования представлены на рис.</w:t>
      </w:r>
      <w:r w:rsidR="004C197F">
        <w:rPr>
          <w:sz w:val="24"/>
          <w:szCs w:val="24"/>
          <w:lang w:val="ru-RU"/>
        </w:rPr>
        <w:t xml:space="preserve"> </w:t>
      </w:r>
      <w:r w:rsidRPr="006C1209">
        <w:rPr>
          <w:sz w:val="24"/>
          <w:szCs w:val="24"/>
          <w:lang w:val="ru-RU"/>
        </w:rPr>
        <w:t>3.</w:t>
      </w:r>
      <w:r>
        <w:rPr>
          <w:sz w:val="24"/>
          <w:szCs w:val="24"/>
          <w:lang w:val="ru-RU"/>
        </w:rPr>
        <w:t xml:space="preserve"> </w:t>
      </w:r>
      <w:r w:rsidRPr="006C1209">
        <w:rPr>
          <w:sz w:val="24"/>
          <w:szCs w:val="24"/>
          <w:lang w:val="ru-RU"/>
        </w:rPr>
        <w:t>Можно видеть, что липидо-независимый вариант активации фактора Х качественно описывает экспериментальные данные. Таким образом, при сборке комплексов на поверхности фосфолипидов факторы могут приходить на высокоаффинные сайты связывания прямо из объема крови, не занимая места на самой фосфолипидной поверхности.</w:t>
      </w:r>
    </w:p>
    <w:p w:rsidR="004C197F" w:rsidRDefault="004C197F" w:rsidP="006C1209">
      <w:pPr>
        <w:spacing w:line="360" w:lineRule="auto"/>
        <w:ind w:firstLine="709"/>
        <w:rPr>
          <w:sz w:val="24"/>
          <w:szCs w:val="24"/>
          <w:lang w:val="ru-RU"/>
        </w:rPr>
      </w:pPr>
    </w:p>
    <w:p w:rsidR="004C197F" w:rsidRDefault="004C197F" w:rsidP="006C1209">
      <w:pPr>
        <w:spacing w:line="360" w:lineRule="auto"/>
        <w:ind w:firstLine="709"/>
        <w:rPr>
          <w:sz w:val="24"/>
          <w:szCs w:val="24"/>
          <w:lang w:val="ru-RU"/>
        </w:rPr>
      </w:pPr>
    </w:p>
    <w:p w:rsidR="004C197F" w:rsidRDefault="004C197F" w:rsidP="006C1209">
      <w:pPr>
        <w:spacing w:line="360" w:lineRule="auto"/>
        <w:ind w:firstLine="709"/>
        <w:rPr>
          <w:sz w:val="24"/>
          <w:szCs w:val="24"/>
          <w:lang w:val="ru-RU"/>
        </w:rPr>
      </w:pPr>
    </w:p>
    <w:p w:rsidR="006C1209" w:rsidRDefault="006C1209" w:rsidP="006C1209">
      <w:pPr>
        <w:spacing w:after="200" w:line="276" w:lineRule="auto"/>
      </w:pPr>
      <w:r w:rsidRPr="00D02933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D25C4" wp14:editId="3F1EA9AB">
                <wp:simplePos x="0" y="0"/>
                <wp:positionH relativeFrom="column">
                  <wp:posOffset>3529965</wp:posOffset>
                </wp:positionH>
                <wp:positionV relativeFrom="paragraph">
                  <wp:posOffset>156210</wp:posOffset>
                </wp:positionV>
                <wp:extent cx="276225" cy="1403985"/>
                <wp:effectExtent l="0" t="0" r="0" b="571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209" w:rsidRPr="00D02933" w:rsidRDefault="006C1209" w:rsidP="006C12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7.95pt;margin-top:12.3pt;width:21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" filled="f" stroked="f">
                <v:textbox style="mso-fit-shape-to-text:t">
                  <w:txbxContent>
                    <w:p w:rsidR="006C1209" w:rsidRPr="00D02933" w:rsidRDefault="006C1209" w:rsidP="006C120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D02933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FDA51" wp14:editId="76471D0E">
                <wp:simplePos x="0" y="0"/>
                <wp:positionH relativeFrom="column">
                  <wp:posOffset>662940</wp:posOffset>
                </wp:positionH>
                <wp:positionV relativeFrom="paragraph">
                  <wp:posOffset>156210</wp:posOffset>
                </wp:positionV>
                <wp:extent cx="276225" cy="1403985"/>
                <wp:effectExtent l="0" t="0" r="0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209" w:rsidRPr="00D02933" w:rsidRDefault="006C1209" w:rsidP="006C1209">
                            <w:pPr>
                              <w:rPr>
                                <w:b/>
                              </w:rPr>
                            </w:pPr>
                            <w:r w:rsidRPr="00D02933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2.2pt;margin-top:12.3pt;width:21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" filled="f" stroked="f">
                <v:textbox style="mso-fit-shape-to-text:t">
                  <w:txbxContent>
                    <w:p w:rsidR="006C1209" w:rsidRPr="00D02933" w:rsidRDefault="006C1209" w:rsidP="006C1209">
                      <w:pPr>
                        <w:rPr>
                          <w:b/>
                        </w:rPr>
                      </w:pPr>
                      <w:r w:rsidRPr="00D02933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4634" w:dyaOrig="3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pt;height:177.05pt" o:ole="">
            <v:imagedata r:id="rId10" o:title=""/>
          </v:shape>
          <o:OLEObject Type="Embed" ProgID="Origin50.Graph" ShapeID="_x0000_i1025" DrawAspect="Content" ObjectID="_1578839900" r:id="rId11"/>
        </w:object>
      </w:r>
      <w:r>
        <w:object w:dxaOrig="4634" w:dyaOrig="3545">
          <v:shape id="_x0000_i1026" type="#_x0000_t75" style="width:231.7pt;height:177.05pt" o:ole="">
            <v:imagedata r:id="rId12" o:title=""/>
          </v:shape>
          <o:OLEObject Type="Embed" ProgID="Origin50.Graph" ShapeID="_x0000_i1026" DrawAspect="Content" ObjectID="_1578839901" r:id="rId13"/>
        </w:object>
      </w:r>
    </w:p>
    <w:p w:rsidR="006C1209" w:rsidRDefault="006C1209" w:rsidP="006C1209">
      <w:pPr>
        <w:spacing w:line="360" w:lineRule="auto"/>
        <w:rPr>
          <w:sz w:val="24"/>
          <w:szCs w:val="24"/>
          <w:lang w:val="ru-RU"/>
        </w:rPr>
      </w:pPr>
      <w:r w:rsidRPr="006C1209">
        <w:rPr>
          <w:sz w:val="24"/>
          <w:szCs w:val="24"/>
          <w:lang w:val="ru-RU"/>
        </w:rPr>
        <w:t>Рис</w:t>
      </w:r>
      <w:r>
        <w:rPr>
          <w:sz w:val="24"/>
          <w:szCs w:val="24"/>
          <w:lang w:val="ru-RU"/>
        </w:rPr>
        <w:t xml:space="preserve">унок </w:t>
      </w:r>
      <w:r w:rsidRPr="006C1209">
        <w:rPr>
          <w:sz w:val="24"/>
          <w:szCs w:val="24"/>
          <w:lang w:val="ru-RU"/>
        </w:rPr>
        <w:t>3. Зависимость скорости генерации фактора Ха от концентрации фосфолипидов. (А) Липидо-зависимый вариант активации фактора Х. (Б) – липидо-независимый вариант активации фактора Х.</w:t>
      </w:r>
    </w:p>
    <w:p w:rsidR="006C1209" w:rsidRPr="00870812" w:rsidRDefault="006C1209" w:rsidP="006C1209">
      <w:pPr>
        <w:spacing w:line="360" w:lineRule="auto"/>
        <w:ind w:firstLine="709"/>
        <w:rPr>
          <w:sz w:val="24"/>
          <w:szCs w:val="24"/>
          <w:lang w:val="ru-RU"/>
        </w:rPr>
      </w:pPr>
    </w:p>
    <w:p w:rsidR="0099772B" w:rsidRPr="00D373E4" w:rsidRDefault="00D373E4" w:rsidP="0099772B">
      <w:pPr>
        <w:pStyle w:val="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7" w:name="_Toc505098066"/>
      <w:r w:rsidRPr="00D373E4">
        <w:rPr>
          <w:rFonts w:ascii="Times New Roman" w:hAnsi="Times New Roman"/>
          <w:color w:val="auto"/>
          <w:sz w:val="24"/>
          <w:szCs w:val="28"/>
          <w:lang w:val="ru-RU"/>
        </w:rPr>
        <w:t xml:space="preserve">Влияние тромбоцитов на  диффузию факторов свертывания Ха и </w:t>
      </w:r>
      <w:r w:rsidRPr="00D373E4">
        <w:rPr>
          <w:rFonts w:ascii="Times New Roman" w:hAnsi="Times New Roman"/>
          <w:color w:val="auto"/>
          <w:sz w:val="24"/>
          <w:szCs w:val="28"/>
        </w:rPr>
        <w:t>IXa</w:t>
      </w:r>
      <w:bookmarkEnd w:id="7"/>
    </w:p>
    <w:p w:rsidR="00D373E4" w:rsidRDefault="00D373E4" w:rsidP="00D373E4">
      <w:pPr>
        <w:spacing w:line="360" w:lineRule="auto"/>
        <w:ind w:firstLine="709"/>
        <w:rPr>
          <w:sz w:val="24"/>
          <w:szCs w:val="24"/>
          <w:lang w:val="ru-RU"/>
        </w:rPr>
      </w:pPr>
      <w:r w:rsidRPr="006C1209">
        <w:rPr>
          <w:sz w:val="24"/>
          <w:szCs w:val="24"/>
          <w:lang w:val="ru-RU"/>
        </w:rPr>
        <w:t>Используя эти данные, мы исследовали, как будет протекать диффузия факторов Ха и IXа в тромбоцитарном сгустке в присутствии протромбина, и как высокоаффинные сайты связывания (кофакторы Va и VIIIa) будут влиять на этот процесс.</w:t>
      </w:r>
      <w:r>
        <w:rPr>
          <w:sz w:val="24"/>
          <w:szCs w:val="24"/>
          <w:lang w:val="ru-RU"/>
        </w:rPr>
        <w:t xml:space="preserve"> </w:t>
      </w:r>
      <w:r w:rsidRPr="006C1209">
        <w:rPr>
          <w:sz w:val="24"/>
          <w:szCs w:val="24"/>
          <w:lang w:val="ru-RU"/>
        </w:rPr>
        <w:t>Можно видеть, что наличие фактора Va приводит к уменьшению эффективного коэффициента диффузии фактора Ха (в 1.5 раз в случае, когда в системе нет протромбина и в 2 раза, когда в системе есть протромбин).</w:t>
      </w:r>
    </w:p>
    <w:p w:rsidR="005727F6" w:rsidRDefault="005727F6" w:rsidP="005727F6">
      <w:pPr>
        <w:spacing w:line="360" w:lineRule="auto"/>
        <w:ind w:firstLine="709"/>
        <w:rPr>
          <w:sz w:val="24"/>
          <w:szCs w:val="24"/>
          <w:lang w:val="ru-RU"/>
        </w:rPr>
      </w:pPr>
      <w:r w:rsidRPr="0095201E">
        <w:rPr>
          <w:sz w:val="24"/>
          <w:szCs w:val="24"/>
          <w:lang w:val="ru-RU"/>
        </w:rPr>
        <w:t>Для фактора IXa оказалось, что ни протромбин, ни фактор VIIIа не влияют на его диффузию (рис. 5).</w:t>
      </w:r>
    </w:p>
    <w:p w:rsidR="005727F6" w:rsidRDefault="005727F6" w:rsidP="00D373E4">
      <w:pPr>
        <w:spacing w:line="360" w:lineRule="auto"/>
        <w:ind w:firstLine="709"/>
        <w:rPr>
          <w:sz w:val="24"/>
          <w:szCs w:val="24"/>
          <w:lang w:val="ru-RU"/>
        </w:rPr>
      </w:pPr>
    </w:p>
    <w:p w:rsidR="005727F6" w:rsidRDefault="005727F6" w:rsidP="00D373E4">
      <w:pPr>
        <w:spacing w:line="360" w:lineRule="auto"/>
        <w:ind w:firstLine="709"/>
        <w:rPr>
          <w:sz w:val="24"/>
          <w:szCs w:val="24"/>
          <w:lang w:val="ru-RU"/>
        </w:rPr>
      </w:pPr>
    </w:p>
    <w:p w:rsidR="005727F6" w:rsidRDefault="005727F6" w:rsidP="00D373E4">
      <w:pPr>
        <w:spacing w:line="360" w:lineRule="auto"/>
        <w:ind w:firstLine="709"/>
        <w:rPr>
          <w:sz w:val="24"/>
          <w:szCs w:val="24"/>
          <w:lang w:val="ru-RU"/>
        </w:rPr>
      </w:pPr>
    </w:p>
    <w:p w:rsidR="005727F6" w:rsidRDefault="005727F6" w:rsidP="00D373E4">
      <w:pPr>
        <w:spacing w:line="360" w:lineRule="auto"/>
        <w:ind w:firstLine="709"/>
        <w:rPr>
          <w:sz w:val="24"/>
          <w:szCs w:val="24"/>
          <w:lang w:val="ru-RU"/>
        </w:rPr>
      </w:pPr>
    </w:p>
    <w:p w:rsidR="00D373E4" w:rsidRDefault="00D373E4" w:rsidP="00D373E4">
      <w:pPr>
        <w:spacing w:after="200" w:line="276" w:lineRule="auto"/>
        <w:jc w:val="center"/>
        <w:rPr>
          <w:sz w:val="24"/>
          <w:szCs w:val="24"/>
        </w:rPr>
      </w:pPr>
      <w:r w:rsidRPr="00D02933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9EAB3" wp14:editId="591DBC47">
                <wp:simplePos x="0" y="0"/>
                <wp:positionH relativeFrom="column">
                  <wp:posOffset>3729990</wp:posOffset>
                </wp:positionH>
                <wp:positionV relativeFrom="paragraph">
                  <wp:posOffset>149225</wp:posOffset>
                </wp:positionV>
                <wp:extent cx="276225" cy="1403985"/>
                <wp:effectExtent l="0" t="0" r="0" b="571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3E4" w:rsidRPr="00D02933" w:rsidRDefault="00D373E4" w:rsidP="00D373E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3.7pt;margin-top:11.75pt;width:21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" filled="f" stroked="f">
                <v:textbox style="mso-fit-shape-to-text:t">
                  <w:txbxContent>
                    <w:p w:rsidR="00D373E4" w:rsidRPr="00D02933" w:rsidRDefault="00D373E4" w:rsidP="00D373E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D02933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CCD52B" wp14:editId="211AC99C">
                <wp:simplePos x="0" y="0"/>
                <wp:positionH relativeFrom="column">
                  <wp:posOffset>720090</wp:posOffset>
                </wp:positionH>
                <wp:positionV relativeFrom="paragraph">
                  <wp:posOffset>149225</wp:posOffset>
                </wp:positionV>
                <wp:extent cx="276225" cy="14039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3E4" w:rsidRPr="00D02933" w:rsidRDefault="00D373E4" w:rsidP="00D373E4">
                            <w:pPr>
                              <w:rPr>
                                <w:b/>
                              </w:rPr>
                            </w:pPr>
                            <w:r w:rsidRPr="00D02933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.7pt;margin-top:11.75pt;width:21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" filled="f" stroked="f">
                <v:textbox style="mso-fit-shape-to-text:t">
                  <w:txbxContent>
                    <w:p w:rsidR="00D373E4" w:rsidRPr="00D02933" w:rsidRDefault="00D373E4" w:rsidP="00D373E4">
                      <w:pPr>
                        <w:rPr>
                          <w:b/>
                        </w:rPr>
                      </w:pPr>
                      <w:r w:rsidRPr="00D02933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4634" w:dyaOrig="3545">
          <v:shape id="_x0000_i1027" type="#_x0000_t75" style="width:231.7pt;height:177.05pt" o:ole="">
            <v:imagedata r:id="rId14" o:title=""/>
          </v:shape>
          <o:OLEObject Type="Embed" ProgID="Origin50.Graph" ShapeID="_x0000_i1027" DrawAspect="Content" ObjectID="_1578839902" r:id="rId15"/>
        </w:object>
      </w:r>
      <w:r>
        <w:object w:dxaOrig="4634" w:dyaOrig="3545">
          <v:shape id="_x0000_i1028" type="#_x0000_t75" style="width:231.7pt;height:177.05pt" o:ole="">
            <v:imagedata r:id="rId16" o:title=""/>
          </v:shape>
          <o:OLEObject Type="Embed" ProgID="Origin50.Graph" ShapeID="_x0000_i1028" DrawAspect="Content" ObjectID="_1578839903" r:id="rId17"/>
        </w:object>
      </w:r>
    </w:p>
    <w:p w:rsidR="00D373E4" w:rsidRDefault="00D373E4" w:rsidP="00D373E4">
      <w:pPr>
        <w:spacing w:line="360" w:lineRule="auto"/>
        <w:rPr>
          <w:sz w:val="24"/>
          <w:szCs w:val="24"/>
          <w:lang w:val="ru-RU"/>
        </w:rPr>
      </w:pPr>
      <w:r w:rsidRPr="006C1209">
        <w:rPr>
          <w:sz w:val="24"/>
          <w:szCs w:val="24"/>
          <w:lang w:val="ru-RU"/>
        </w:rPr>
        <w:t>Рис</w:t>
      </w:r>
      <w:r>
        <w:rPr>
          <w:sz w:val="24"/>
          <w:szCs w:val="24"/>
          <w:lang w:val="ru-RU"/>
        </w:rPr>
        <w:t xml:space="preserve">унок </w:t>
      </w:r>
      <w:r w:rsidRPr="006C1209">
        <w:rPr>
          <w:sz w:val="24"/>
          <w:szCs w:val="24"/>
          <w:lang w:val="ru-RU"/>
        </w:rPr>
        <w:t>4. Диффузные профили полной концентрации фактора Ха (А) и свободного фактора Ха (Б) в присутствии и отсутствии тромбоцитов и протромбина через 10</w:t>
      </w:r>
      <w:r>
        <w:rPr>
          <w:sz w:val="24"/>
          <w:szCs w:val="24"/>
          <w:lang w:val="ru-RU"/>
        </w:rPr>
        <w:t>0</w:t>
      </w:r>
      <w:r w:rsidRPr="006C1209">
        <w:rPr>
          <w:sz w:val="24"/>
          <w:szCs w:val="24"/>
          <w:lang w:val="ru-RU"/>
        </w:rPr>
        <w:t xml:space="preserve"> секунд после начала симуляции. Черным показан случай, когда в системе нет тромбоцитов. Красным – когда есть только тромбоциты. Зеленым – когда есть тромбоциты и протромбин. Синим – когда есть тромбоциты и фактор Va. Светло-голубым – когда тромбоциты, протромбин и фактор Va.</w:t>
      </w:r>
    </w:p>
    <w:p w:rsidR="00D373E4" w:rsidRDefault="00D373E4" w:rsidP="00D373E4">
      <w:pPr>
        <w:spacing w:line="360" w:lineRule="auto"/>
        <w:rPr>
          <w:sz w:val="24"/>
          <w:szCs w:val="24"/>
          <w:lang w:val="ru-RU"/>
        </w:rPr>
      </w:pPr>
    </w:p>
    <w:p w:rsidR="00D373E4" w:rsidRDefault="00D373E4" w:rsidP="00D373E4">
      <w:pPr>
        <w:spacing w:after="200" w:line="276" w:lineRule="auto"/>
        <w:jc w:val="center"/>
      </w:pPr>
      <w:r w:rsidRPr="00D02933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52A3C" wp14:editId="1021FAFE">
                <wp:simplePos x="0" y="0"/>
                <wp:positionH relativeFrom="column">
                  <wp:posOffset>3930015</wp:posOffset>
                </wp:positionH>
                <wp:positionV relativeFrom="paragraph">
                  <wp:posOffset>208915</wp:posOffset>
                </wp:positionV>
                <wp:extent cx="276225" cy="1403985"/>
                <wp:effectExtent l="0" t="0" r="0" b="571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3E4" w:rsidRPr="00D02933" w:rsidRDefault="00D373E4" w:rsidP="00D373E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9.45pt;margin-top:16.45pt;width:21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" filled="f" stroked="f">
                <v:textbox style="mso-fit-shape-to-text:t">
                  <w:txbxContent>
                    <w:p w:rsidR="00D373E4" w:rsidRPr="00D02933" w:rsidRDefault="00D373E4" w:rsidP="00D373E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D02933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A6A8C9" wp14:editId="4EA5D793">
                <wp:simplePos x="0" y="0"/>
                <wp:positionH relativeFrom="column">
                  <wp:posOffset>872490</wp:posOffset>
                </wp:positionH>
                <wp:positionV relativeFrom="paragraph">
                  <wp:posOffset>151765</wp:posOffset>
                </wp:positionV>
                <wp:extent cx="276225" cy="1403985"/>
                <wp:effectExtent l="0" t="0" r="0" b="571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3E4" w:rsidRPr="00D02933" w:rsidRDefault="00D373E4" w:rsidP="00D373E4">
                            <w:pPr>
                              <w:rPr>
                                <w:b/>
                              </w:rPr>
                            </w:pPr>
                            <w:r w:rsidRPr="00D02933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8.7pt;margin-top:11.95pt;width:21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" filled="f" stroked="f">
                <v:textbox style="mso-fit-shape-to-text:t">
                  <w:txbxContent>
                    <w:p w:rsidR="00D373E4" w:rsidRPr="00D02933" w:rsidRDefault="00D373E4" w:rsidP="00D373E4">
                      <w:pPr>
                        <w:rPr>
                          <w:b/>
                        </w:rPr>
                      </w:pPr>
                      <w:r w:rsidRPr="00D02933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4634" w:dyaOrig="3545">
          <v:shape id="_x0000_i1029" type="#_x0000_t75" style="width:231.7pt;height:177.05pt" o:ole="">
            <v:imagedata r:id="rId18" o:title=""/>
          </v:shape>
          <o:OLEObject Type="Embed" ProgID="Origin50.Graph" ShapeID="_x0000_i1029" DrawAspect="Content" ObjectID="_1578839904" r:id="rId19"/>
        </w:object>
      </w:r>
      <w:r>
        <w:object w:dxaOrig="4634" w:dyaOrig="3545">
          <v:shape id="_x0000_i1030" type="#_x0000_t75" style="width:231.7pt;height:177.05pt" o:ole="">
            <v:imagedata r:id="rId20" o:title=""/>
          </v:shape>
          <o:OLEObject Type="Embed" ProgID="Origin50.Graph" ShapeID="_x0000_i1030" DrawAspect="Content" ObjectID="_1578839905" r:id="rId21"/>
        </w:object>
      </w:r>
    </w:p>
    <w:p w:rsidR="00D373E4" w:rsidRPr="0095201E" w:rsidRDefault="00D373E4" w:rsidP="00D373E4">
      <w:pPr>
        <w:spacing w:line="360" w:lineRule="auto"/>
        <w:rPr>
          <w:sz w:val="24"/>
          <w:szCs w:val="24"/>
          <w:lang w:val="ru-RU"/>
        </w:rPr>
      </w:pPr>
      <w:r w:rsidRPr="0095201E">
        <w:rPr>
          <w:sz w:val="24"/>
          <w:szCs w:val="24"/>
          <w:lang w:val="ru-RU"/>
        </w:rPr>
        <w:t>Рис</w:t>
      </w:r>
      <w:r>
        <w:rPr>
          <w:sz w:val="24"/>
          <w:szCs w:val="24"/>
          <w:lang w:val="ru-RU"/>
        </w:rPr>
        <w:t xml:space="preserve">унок </w:t>
      </w:r>
      <w:r w:rsidRPr="0095201E">
        <w:rPr>
          <w:sz w:val="24"/>
          <w:szCs w:val="24"/>
          <w:lang w:val="ru-RU"/>
        </w:rPr>
        <w:t>5. Диффузные профили полной концентрации фактора IХа (А) и свободного фактора IХа (Б) в присутствии и отсутствии тромбоцитов и протромбина через 103 секунд после начала симуляции. Черным показан случай, когда в системе нет тромбоцитов. Красным – когда есть только тромбоциты. Зеленым – когда есть тромбоциты и протромбин. Синим – когда есть тромбоциты и фактор VIIIa. Светло-голубым – когда тромбоциты, протромбин и фактор VIIIa.</w:t>
      </w:r>
    </w:p>
    <w:p w:rsidR="00D373E4" w:rsidRPr="0095201E" w:rsidRDefault="00D373E4" w:rsidP="00D373E4">
      <w:pPr>
        <w:spacing w:line="360" w:lineRule="auto"/>
        <w:ind w:firstLine="709"/>
        <w:rPr>
          <w:sz w:val="24"/>
          <w:szCs w:val="24"/>
          <w:lang w:val="ru-RU"/>
        </w:rPr>
      </w:pPr>
    </w:p>
    <w:p w:rsidR="00D373E4" w:rsidRDefault="00D373E4" w:rsidP="00D373E4">
      <w:pPr>
        <w:spacing w:line="360" w:lineRule="auto"/>
        <w:ind w:firstLine="709"/>
        <w:rPr>
          <w:sz w:val="24"/>
          <w:szCs w:val="24"/>
          <w:lang w:val="ru-RU"/>
        </w:rPr>
      </w:pPr>
      <w:r w:rsidRPr="0095201E">
        <w:rPr>
          <w:sz w:val="24"/>
          <w:szCs w:val="24"/>
          <w:lang w:val="ru-RU"/>
        </w:rPr>
        <w:lastRenderedPageBreak/>
        <w:t>Таким образом, для фактора Ха изменение эффективного коэффициента диффузии в тромбоцитарном сгустке, связанное с наличием высокоаффинных сайтов связывания (фактора Va), может быть достаточно значимым (до 2-х раз), и это следует принимать во внимание при разработке детальных моделей генерации тромбина в цельной крови. В то же время диффузия фактора IXа в тромбоцитарном сгустке не зависит ни от протромбина, ни от наличия высокоаффиных сайтов связывания (фактора VIIIа).</w:t>
      </w:r>
    </w:p>
    <w:p w:rsidR="00D373E4" w:rsidRPr="0063211A" w:rsidRDefault="00D373E4" w:rsidP="003E34CB">
      <w:pPr>
        <w:spacing w:line="360" w:lineRule="auto"/>
        <w:ind w:firstLine="709"/>
        <w:rPr>
          <w:sz w:val="24"/>
          <w:szCs w:val="24"/>
          <w:highlight w:val="yellow"/>
          <w:lang w:val="ru-RU"/>
        </w:rPr>
      </w:pPr>
    </w:p>
    <w:p w:rsidR="00ED3DC2" w:rsidRPr="00FD466D" w:rsidRDefault="0063211A" w:rsidP="00D373E4">
      <w:pPr>
        <w:pStyle w:val="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8" w:name="_Toc505098067"/>
      <w:r>
        <w:rPr>
          <w:rFonts w:ascii="Times New Roman" w:hAnsi="Times New Roman"/>
          <w:color w:val="auto"/>
          <w:sz w:val="28"/>
          <w:lang w:val="ru-RU"/>
        </w:rPr>
        <w:lastRenderedPageBreak/>
        <w:t>Заключение</w:t>
      </w:r>
      <w:bookmarkEnd w:id="8"/>
    </w:p>
    <w:p w:rsidR="00144E87" w:rsidRPr="00144E87" w:rsidRDefault="00144E87" w:rsidP="00144E87">
      <w:pPr>
        <w:spacing w:line="360" w:lineRule="auto"/>
        <w:ind w:firstLine="709"/>
        <w:rPr>
          <w:sz w:val="24"/>
          <w:szCs w:val="24"/>
          <w:lang w:val="ru-RU"/>
        </w:rPr>
      </w:pPr>
      <w:r w:rsidRPr="00144E87">
        <w:rPr>
          <w:sz w:val="24"/>
          <w:szCs w:val="24"/>
          <w:lang w:val="ru-RU"/>
        </w:rPr>
        <w:t>В результате текущих исследований мы установили следующие особенности механизмов, управляющих генерацией тромбина в цельной крови. Мы показали, что активация фактора Х комплексом внутренней теназы регулируется поступлением фактора Х из объема крови, а не с фосфолипидной поверхности.</w:t>
      </w:r>
    </w:p>
    <w:p w:rsidR="00144E87" w:rsidRPr="00144E87" w:rsidRDefault="00144E87" w:rsidP="00144E87">
      <w:pPr>
        <w:spacing w:line="360" w:lineRule="auto"/>
        <w:ind w:firstLine="709"/>
        <w:rPr>
          <w:sz w:val="24"/>
          <w:szCs w:val="24"/>
          <w:lang w:val="ru-RU"/>
        </w:rPr>
      </w:pPr>
      <w:r w:rsidRPr="00144E87">
        <w:rPr>
          <w:sz w:val="24"/>
          <w:szCs w:val="24"/>
          <w:lang w:val="ru-RU"/>
        </w:rPr>
        <w:t xml:space="preserve">Мы выяснили, что в тромбоцитарном тромбе диффузия фактора Ха ухудшается из-за его связывания с фосфолипидами на поверхности тромбоцитов и с высокоаффинными сайтами связывания  - фактором Va. </w:t>
      </w:r>
    </w:p>
    <w:p w:rsidR="00144E87" w:rsidRDefault="00144E87" w:rsidP="00144E87">
      <w:pPr>
        <w:spacing w:line="360" w:lineRule="auto"/>
        <w:ind w:firstLine="709"/>
        <w:rPr>
          <w:sz w:val="24"/>
          <w:szCs w:val="24"/>
          <w:lang w:val="ru-RU"/>
        </w:rPr>
      </w:pPr>
      <w:r w:rsidRPr="00144E87">
        <w:rPr>
          <w:sz w:val="24"/>
          <w:szCs w:val="24"/>
          <w:lang w:val="ru-RU"/>
        </w:rPr>
        <w:t>Для дальнейших исследований необходимо построение детальной модели активации тромбина, учитывающей обнаруженные нами особенности диффузии факторов в тромбоцитарном тромбе. Разработка такой модели позволит имитировать процесс генерации тромбина в цельной крови и создать алгоритмы восстановления сигнала, необходимые для разработки экспериментальной методики.</w:t>
      </w:r>
    </w:p>
    <w:p w:rsidR="00144E87" w:rsidRDefault="00144E87" w:rsidP="00144E87">
      <w:pPr>
        <w:spacing w:line="360" w:lineRule="auto"/>
        <w:ind w:firstLine="709"/>
        <w:rPr>
          <w:sz w:val="24"/>
          <w:szCs w:val="24"/>
          <w:lang w:val="ru-RU"/>
        </w:rPr>
      </w:pPr>
    </w:p>
    <w:p w:rsidR="0063211A" w:rsidRPr="0049281F" w:rsidRDefault="0063211A" w:rsidP="0063211A">
      <w:pPr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Основн</w:t>
      </w:r>
      <w:r w:rsidR="00144E87">
        <w:rPr>
          <w:sz w:val="24"/>
          <w:szCs w:val="24"/>
          <w:lang w:val="ru-RU"/>
        </w:rPr>
        <w:t>ой</w:t>
      </w:r>
      <w:r>
        <w:rPr>
          <w:sz w:val="24"/>
          <w:szCs w:val="24"/>
          <w:lang w:val="ru-RU"/>
        </w:rPr>
        <w:t xml:space="preserve"> результат работы:</w:t>
      </w:r>
    </w:p>
    <w:p w:rsidR="0063211A" w:rsidRPr="00144E87" w:rsidRDefault="00BD0F6B" w:rsidP="00144E87">
      <w:pPr>
        <w:pStyle w:val="ac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</w:t>
      </w:r>
      <w:r w:rsidR="00144E87" w:rsidRPr="00144E87">
        <w:rPr>
          <w:sz w:val="24"/>
          <w:szCs w:val="24"/>
        </w:rPr>
        <w:t>оказано, что диффузия факторов в тромбоцитарном тромбе определяется их связыванием с доступной фосфолипидной поверхностью, и протромбином, который конкурирует за фософлипидную поверхность с другими факторами свертывания.</w:t>
      </w:r>
    </w:p>
    <w:p w:rsidR="00ED3DC2" w:rsidRPr="00ED3DC2" w:rsidRDefault="00ED3DC2" w:rsidP="00ED3DC2">
      <w:pPr>
        <w:spacing w:after="160" w:line="259" w:lineRule="auto"/>
        <w:jc w:val="left"/>
        <w:rPr>
          <w:sz w:val="24"/>
          <w:szCs w:val="24"/>
          <w:lang w:val="ru-RU"/>
        </w:rPr>
      </w:pPr>
      <w:r w:rsidRPr="00ED3DC2">
        <w:rPr>
          <w:sz w:val="24"/>
          <w:szCs w:val="24"/>
          <w:lang w:val="ru-RU"/>
        </w:rPr>
        <w:br w:type="page"/>
      </w:r>
    </w:p>
    <w:p w:rsidR="00ED3DC2" w:rsidRPr="00144E87" w:rsidRDefault="00ED3DC2" w:rsidP="009E4076">
      <w:pPr>
        <w:pStyle w:val="2"/>
        <w:spacing w:after="120"/>
        <w:rPr>
          <w:rFonts w:ascii="Times New Roman" w:hAnsi="Times New Roman"/>
          <w:color w:val="auto"/>
          <w:sz w:val="28"/>
          <w:szCs w:val="24"/>
          <w:lang w:val="ru-RU"/>
        </w:rPr>
      </w:pPr>
      <w:bookmarkStart w:id="9" w:name="_Toc505098068"/>
      <w:r w:rsidRPr="00144E87">
        <w:rPr>
          <w:rFonts w:ascii="Times New Roman" w:hAnsi="Times New Roman"/>
          <w:color w:val="auto"/>
          <w:sz w:val="28"/>
          <w:szCs w:val="24"/>
          <w:lang w:val="ru-RU"/>
        </w:rPr>
        <w:lastRenderedPageBreak/>
        <w:t>Список использованных источников</w:t>
      </w:r>
      <w:bookmarkEnd w:id="9"/>
    </w:p>
    <w:p w:rsidR="00EA7C91" w:rsidRPr="00EA7C91" w:rsidRDefault="00EA7C91" w:rsidP="00EA7C91">
      <w:pPr>
        <w:pStyle w:val="ac"/>
        <w:numPr>
          <w:ilvl w:val="0"/>
          <w:numId w:val="7"/>
        </w:numPr>
        <w:spacing w:line="360" w:lineRule="auto"/>
        <w:rPr>
          <w:sz w:val="24"/>
        </w:rPr>
      </w:pPr>
      <w:r w:rsidRPr="00EA7C91">
        <w:rPr>
          <w:sz w:val="24"/>
          <w:lang w:val="en-US"/>
        </w:rPr>
        <w:t xml:space="preserve">Silverberg SA, Nemerson Y, Zur M. Kinetics of the activation of bovine coagulation factor X by components of the extrinsic pathway. </w:t>
      </w:r>
      <w:r w:rsidRPr="008A3E61">
        <w:rPr>
          <w:sz w:val="24"/>
          <w:lang w:val="en-US"/>
        </w:rPr>
        <w:t xml:space="preserve">Kinetic behavior of two-chain factor VII in the presence and absence of tissue factor. </w:t>
      </w:r>
      <w:r w:rsidRPr="00EA7C91">
        <w:rPr>
          <w:sz w:val="24"/>
        </w:rPr>
        <w:t>J Biol Chem. 1977 Dec 10;252(23):8481-8.</w:t>
      </w:r>
    </w:p>
    <w:p w:rsidR="00EA7C91" w:rsidRPr="00EA7C91" w:rsidRDefault="00EA7C91" w:rsidP="00EA7C91">
      <w:pPr>
        <w:pStyle w:val="ac"/>
        <w:numPr>
          <w:ilvl w:val="0"/>
          <w:numId w:val="7"/>
        </w:numPr>
        <w:spacing w:line="360" w:lineRule="auto"/>
        <w:rPr>
          <w:sz w:val="24"/>
        </w:rPr>
      </w:pPr>
      <w:r w:rsidRPr="008A3E61">
        <w:rPr>
          <w:sz w:val="24"/>
          <w:lang w:val="en-US"/>
        </w:rPr>
        <w:t xml:space="preserve">Hougie C, Denson KW, Biggs R. A study of the reaction product of factor 8 and factor IX by gel filtration. </w:t>
      </w:r>
      <w:r w:rsidRPr="00EA7C91">
        <w:rPr>
          <w:sz w:val="24"/>
        </w:rPr>
        <w:t>Thromb Diath Haemorrh. 1967 Aug 15;18(1-2):211-22.</w:t>
      </w:r>
    </w:p>
    <w:p w:rsidR="00EA7C91" w:rsidRPr="00EA7C91" w:rsidRDefault="00EA7C91" w:rsidP="00EA7C91">
      <w:pPr>
        <w:pStyle w:val="ac"/>
        <w:numPr>
          <w:ilvl w:val="0"/>
          <w:numId w:val="7"/>
        </w:numPr>
        <w:spacing w:line="360" w:lineRule="auto"/>
        <w:rPr>
          <w:sz w:val="24"/>
        </w:rPr>
      </w:pPr>
      <w:r w:rsidRPr="00EA7C91">
        <w:rPr>
          <w:sz w:val="24"/>
        </w:rPr>
        <w:t>Osterud B, Rapaport SI. Activation of factor IX by the reaction product of tissue factor and factor VII: additional pathway for initiating blood coagulation. Proc Natl Acad Sci U S A. 1977 Dec;74(12):5260-4.</w:t>
      </w:r>
    </w:p>
    <w:p w:rsidR="00EA7C91" w:rsidRPr="00EA7C91" w:rsidRDefault="00EA7C91" w:rsidP="00EA7C91">
      <w:pPr>
        <w:pStyle w:val="ac"/>
        <w:numPr>
          <w:ilvl w:val="0"/>
          <w:numId w:val="7"/>
        </w:numPr>
        <w:spacing w:line="360" w:lineRule="auto"/>
        <w:rPr>
          <w:sz w:val="24"/>
        </w:rPr>
      </w:pPr>
      <w:r w:rsidRPr="00EA7C91">
        <w:rPr>
          <w:sz w:val="24"/>
        </w:rPr>
        <w:t xml:space="preserve">Podoplelova NA, Sveshnikova AN, Kurasawa JH, Sarafanov AG, Chambost H, Vasil'ev SA, Demina IA, Ataullakhanov FI, Alessi MC, Panteleev MA. Hysteresis-like binding of coagulation factors X/Xa to procoagulant activated platelets and phospholipids results from multistep association and membrane-dependent multimerization. Biochim Biophys Acta. 2016 Jun;1858(6):1216-27. </w:t>
      </w:r>
    </w:p>
    <w:p w:rsidR="00EA7C91" w:rsidRPr="00EA7C91" w:rsidRDefault="00EA7C91" w:rsidP="00EA7C91">
      <w:pPr>
        <w:pStyle w:val="ac"/>
        <w:numPr>
          <w:ilvl w:val="0"/>
          <w:numId w:val="7"/>
        </w:numPr>
        <w:spacing w:line="360" w:lineRule="auto"/>
        <w:rPr>
          <w:sz w:val="24"/>
        </w:rPr>
      </w:pPr>
      <w:r w:rsidRPr="00EA7C91">
        <w:rPr>
          <w:sz w:val="24"/>
        </w:rPr>
        <w:t>Messer AS, Velander WH, Bajaj SP. Contribution of magnesium in binding of factor IXa to the phospholipid surface: implications for vitamin K-dependent coagulation proteins. J Thromb Haemost. 2009 Dec;7(12):2151-3.</w:t>
      </w:r>
    </w:p>
    <w:p w:rsidR="00EA7C91" w:rsidRPr="00EA7C91" w:rsidRDefault="00EA7C91" w:rsidP="00EA7C91">
      <w:pPr>
        <w:pStyle w:val="ac"/>
        <w:numPr>
          <w:ilvl w:val="0"/>
          <w:numId w:val="7"/>
        </w:numPr>
        <w:spacing w:line="360" w:lineRule="auto"/>
        <w:rPr>
          <w:sz w:val="24"/>
        </w:rPr>
      </w:pPr>
      <w:r w:rsidRPr="00EA7C91">
        <w:rPr>
          <w:sz w:val="24"/>
        </w:rPr>
        <w:t>Saenko EL, Scandella D, Yakhyaev AV, Greco NJ. Activation of factor VIII by thrombin increases its affinity for binding to synthetic phospholipid membranes and activated platelets. J Biol Chem. 1998 Oct 23;273(43):27918-26.</w:t>
      </w:r>
    </w:p>
    <w:p w:rsidR="00EA7C91" w:rsidRPr="00EA7C91" w:rsidRDefault="00EA7C91" w:rsidP="00EA7C91">
      <w:pPr>
        <w:pStyle w:val="ac"/>
        <w:numPr>
          <w:ilvl w:val="0"/>
          <w:numId w:val="7"/>
        </w:numPr>
        <w:spacing w:line="360" w:lineRule="auto"/>
        <w:rPr>
          <w:sz w:val="24"/>
        </w:rPr>
      </w:pPr>
      <w:r w:rsidRPr="00EA7C91">
        <w:rPr>
          <w:sz w:val="24"/>
        </w:rPr>
        <w:t>Mathur A, Zhong D, Sabharwal AK, Smith KJ, Bajaj SP. Interaction of factor IXa with factor VIIIa. Effects of protease domain Ca2+ binding site, proteolysis in the autolysis loop, phospholipid, and factor X. J Biol Chem. 1997 Sep 12;272(37):23418-26.</w:t>
      </w:r>
    </w:p>
    <w:p w:rsidR="00EA7C91" w:rsidRPr="00911C80" w:rsidRDefault="00EA7C91" w:rsidP="00EA7C91">
      <w:pPr>
        <w:pStyle w:val="ac"/>
        <w:numPr>
          <w:ilvl w:val="0"/>
          <w:numId w:val="8"/>
        </w:numPr>
        <w:spacing w:line="360" w:lineRule="auto"/>
        <w:rPr>
          <w:sz w:val="24"/>
        </w:rPr>
      </w:pPr>
      <w:r w:rsidRPr="00911C80">
        <w:rPr>
          <w:sz w:val="24"/>
        </w:rPr>
        <w:t>Panteleev MA, Ananyeva NM, Greco NJ, Ataullakhanov FI, Saenko EL. Factor VIIIa regulates substrate delivery to the intrinsic factor X-activating complex. FEBS J. 2006 Jan;273(2):374-87.</w:t>
      </w:r>
    </w:p>
    <w:p w:rsidR="00EA7C91" w:rsidRPr="00EA7C91" w:rsidRDefault="00EA7C91" w:rsidP="00EA7C91">
      <w:pPr>
        <w:spacing w:line="360" w:lineRule="auto"/>
        <w:rPr>
          <w:sz w:val="24"/>
        </w:rPr>
      </w:pPr>
    </w:p>
    <w:p w:rsidR="00EA7C91" w:rsidRPr="00EA7C91" w:rsidRDefault="00EA7C91" w:rsidP="00EA7C91">
      <w:pPr>
        <w:spacing w:line="360" w:lineRule="auto"/>
        <w:rPr>
          <w:sz w:val="24"/>
        </w:rPr>
      </w:pPr>
    </w:p>
    <w:p w:rsidR="00EA7C91" w:rsidRPr="00EA7C91" w:rsidRDefault="00EA7C91" w:rsidP="00EA7C91">
      <w:pPr>
        <w:spacing w:line="360" w:lineRule="auto"/>
        <w:rPr>
          <w:sz w:val="24"/>
        </w:rPr>
      </w:pPr>
    </w:p>
    <w:p w:rsidR="00EA7C91" w:rsidRPr="00EA7C91" w:rsidRDefault="00EA7C91" w:rsidP="00EA7C91">
      <w:pPr>
        <w:spacing w:line="360" w:lineRule="auto"/>
        <w:rPr>
          <w:sz w:val="24"/>
        </w:rPr>
      </w:pPr>
    </w:p>
    <w:p w:rsidR="00EA7C91" w:rsidRDefault="00EA7C91" w:rsidP="00EA7C91"/>
    <w:p w:rsidR="00770EC4" w:rsidRPr="0063211A" w:rsidRDefault="00770EC4" w:rsidP="00770EC4">
      <w:pPr>
        <w:pStyle w:val="11"/>
        <w:tabs>
          <w:tab w:val="left" w:pos="0"/>
        </w:tabs>
        <w:spacing w:line="360" w:lineRule="auto"/>
        <w:rPr>
          <w:highlight w:val="yellow"/>
        </w:rPr>
      </w:pPr>
    </w:p>
    <w:sectPr w:rsidR="00770EC4" w:rsidRPr="0063211A">
      <w:footerReference w:type="default" r:id="rId22"/>
      <w:headerReference w:type="first" r:id="rId23"/>
      <w:footerReference w:type="first" r:id="rId24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D17" w:rsidRDefault="000B2D15">
      <w:r>
        <w:separator/>
      </w:r>
    </w:p>
  </w:endnote>
  <w:endnote w:type="continuationSeparator" w:id="0">
    <w:p w:rsidR="00FE0D17" w:rsidRDefault="000B2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752" w:rsidRDefault="00ED3DC2">
    <w:pPr>
      <w:pStyle w:val="a5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70485" cy="160655"/>
              <wp:effectExtent l="0" t="254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752" w:rsidRDefault="001714A1">
                          <w:pPr>
                            <w:pStyle w:val="a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A3E61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32" type="#_x0000_t202" style="position:absolute;left:0;text-align:left;margin-left:-45.65pt;margin-top:0;width:5.55pt;height:12.6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" filled="f" stroked="f">
              <v:textbox style="mso-fit-shape-to-text:t" inset="0,0,0,0">
                <w:txbxContent>
                  <w:p w:rsidR="00FF6752" w:rsidRDefault="001714A1">
                    <w:pPr>
                      <w:pStyle w:val="a5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8A3E61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FF6752" w:rsidRDefault="008A3E6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752" w:rsidRDefault="00ED3DC2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31445"/>
              <wp:effectExtent l="2540" t="1270" r="0" b="635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752" w:rsidRDefault="001714A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8A3E61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33" type="#_x0000_t202" style="position:absolute;left:0;text-align:left;margin-left:-46.65pt;margin-top:0;width:4.55pt;height:10.35pt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" filled="f" stroked="f">
              <v:textbox style="mso-fit-shape-to-text:t" inset="0,0,0,0">
                <w:txbxContent>
                  <w:p w:rsidR="00FF6752" w:rsidRDefault="001714A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8A3E61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D17" w:rsidRDefault="000B2D15">
      <w:r>
        <w:separator/>
      </w:r>
    </w:p>
  </w:footnote>
  <w:footnote w:type="continuationSeparator" w:id="0">
    <w:p w:rsidR="00FE0D17" w:rsidRDefault="000B2D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752" w:rsidRDefault="008A3E6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1229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928FF"/>
    <w:multiLevelType w:val="hybridMultilevel"/>
    <w:tmpl w:val="D64CA380"/>
    <w:lvl w:ilvl="0" w:tplc="74B264B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D0C9A"/>
    <w:multiLevelType w:val="hybridMultilevel"/>
    <w:tmpl w:val="593A6904"/>
    <w:lvl w:ilvl="0" w:tplc="71D2F5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03F84"/>
    <w:multiLevelType w:val="hybridMultilevel"/>
    <w:tmpl w:val="49A6F4C0"/>
    <w:lvl w:ilvl="0" w:tplc="79BCB8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AC6309F"/>
    <w:multiLevelType w:val="hybridMultilevel"/>
    <w:tmpl w:val="A13A9EBC"/>
    <w:lvl w:ilvl="0" w:tplc="CF3488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4912743"/>
    <w:multiLevelType w:val="multilevel"/>
    <w:tmpl w:val="7491274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381A26"/>
    <w:multiLevelType w:val="hybridMultilevel"/>
    <w:tmpl w:val="25EE7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B122E5"/>
    <w:multiLevelType w:val="hybridMultilevel"/>
    <w:tmpl w:val="C0F88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5D"/>
    <w:rsid w:val="00034FB1"/>
    <w:rsid w:val="00046BD3"/>
    <w:rsid w:val="000B2D15"/>
    <w:rsid w:val="00111104"/>
    <w:rsid w:val="00144E87"/>
    <w:rsid w:val="001714A1"/>
    <w:rsid w:val="00185C19"/>
    <w:rsid w:val="00197821"/>
    <w:rsid w:val="002A2044"/>
    <w:rsid w:val="0030530C"/>
    <w:rsid w:val="00305B67"/>
    <w:rsid w:val="003E34CB"/>
    <w:rsid w:val="00423910"/>
    <w:rsid w:val="0042459A"/>
    <w:rsid w:val="004637B1"/>
    <w:rsid w:val="004B7BC8"/>
    <w:rsid w:val="004C197F"/>
    <w:rsid w:val="00561BF8"/>
    <w:rsid w:val="005727F6"/>
    <w:rsid w:val="0063211A"/>
    <w:rsid w:val="00673B60"/>
    <w:rsid w:val="006C1209"/>
    <w:rsid w:val="0073104B"/>
    <w:rsid w:val="007377D7"/>
    <w:rsid w:val="00770EC4"/>
    <w:rsid w:val="007A5B05"/>
    <w:rsid w:val="00870812"/>
    <w:rsid w:val="008A3E61"/>
    <w:rsid w:val="008C2C91"/>
    <w:rsid w:val="00911C80"/>
    <w:rsid w:val="00946222"/>
    <w:rsid w:val="0095201E"/>
    <w:rsid w:val="0099772B"/>
    <w:rsid w:val="009B33F1"/>
    <w:rsid w:val="009D3A0D"/>
    <w:rsid w:val="009E4076"/>
    <w:rsid w:val="00AD2F06"/>
    <w:rsid w:val="00AF495D"/>
    <w:rsid w:val="00BB6622"/>
    <w:rsid w:val="00BD0F6B"/>
    <w:rsid w:val="00CF5B40"/>
    <w:rsid w:val="00D373E4"/>
    <w:rsid w:val="00DB4377"/>
    <w:rsid w:val="00E23ECE"/>
    <w:rsid w:val="00EA0A62"/>
    <w:rsid w:val="00EA7C91"/>
    <w:rsid w:val="00ED3DC2"/>
    <w:rsid w:val="00F669D1"/>
    <w:rsid w:val="00FD466D"/>
    <w:rsid w:val="00FE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DC2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D3D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3DC2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3DC2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3DC2"/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D3DC2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a3">
    <w:name w:val="Body Text"/>
    <w:basedOn w:val="a"/>
    <w:link w:val="a4"/>
    <w:rsid w:val="00ED3DC2"/>
    <w:pPr>
      <w:jc w:val="left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ED3DC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footer"/>
    <w:basedOn w:val="a"/>
    <w:link w:val="a6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a7">
    <w:name w:val="header"/>
    <w:basedOn w:val="a"/>
    <w:link w:val="a8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21">
    <w:name w:val="toc 2"/>
    <w:basedOn w:val="a"/>
    <w:next w:val="a"/>
    <w:uiPriority w:val="39"/>
    <w:unhideWhenUsed/>
    <w:rsid w:val="00ED3DC2"/>
    <w:pPr>
      <w:spacing w:after="100"/>
      <w:ind w:left="220"/>
    </w:pPr>
  </w:style>
  <w:style w:type="paragraph" w:styleId="31">
    <w:name w:val="toc 3"/>
    <w:basedOn w:val="a"/>
    <w:next w:val="a"/>
    <w:uiPriority w:val="39"/>
    <w:unhideWhenUsed/>
    <w:rsid w:val="00ED3DC2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ED3DC2"/>
    <w:rPr>
      <w:color w:val="0563C1"/>
      <w:u w:val="single"/>
    </w:rPr>
  </w:style>
  <w:style w:type="paragraph" w:customStyle="1" w:styleId="11">
    <w:name w:val="Абзац списка1"/>
    <w:basedOn w:val="a"/>
    <w:qFormat/>
    <w:rsid w:val="00ED3DC2"/>
    <w:pPr>
      <w:ind w:left="720"/>
      <w:contextualSpacing/>
      <w:jc w:val="left"/>
    </w:pPr>
    <w:rPr>
      <w:sz w:val="24"/>
      <w:szCs w:val="24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rsid w:val="00ED3DC2"/>
    <w:pPr>
      <w:spacing w:line="276" w:lineRule="auto"/>
      <w:jc w:val="left"/>
      <w:outlineLvl w:val="9"/>
    </w:pPr>
    <w:rPr>
      <w:rFonts w:ascii="Calibri Light" w:eastAsia="Times New Roman" w:hAnsi="Calibri Light" w:cs="Times New Roman"/>
      <w:color w:val="2D73B3"/>
    </w:rPr>
  </w:style>
  <w:style w:type="character" w:customStyle="1" w:styleId="10">
    <w:name w:val="Заголовок 1 Знак"/>
    <w:basedOn w:val="a0"/>
    <w:link w:val="1"/>
    <w:uiPriority w:val="9"/>
    <w:rsid w:val="00ED3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ED3D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3DC2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qFormat/>
    <w:rsid w:val="003E34CB"/>
    <w:pPr>
      <w:ind w:left="720"/>
      <w:contextualSpacing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DC2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D3D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3DC2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3DC2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3DC2"/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D3DC2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a3">
    <w:name w:val="Body Text"/>
    <w:basedOn w:val="a"/>
    <w:link w:val="a4"/>
    <w:rsid w:val="00ED3DC2"/>
    <w:pPr>
      <w:jc w:val="left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ED3DC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footer"/>
    <w:basedOn w:val="a"/>
    <w:link w:val="a6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a7">
    <w:name w:val="header"/>
    <w:basedOn w:val="a"/>
    <w:link w:val="a8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21">
    <w:name w:val="toc 2"/>
    <w:basedOn w:val="a"/>
    <w:next w:val="a"/>
    <w:uiPriority w:val="39"/>
    <w:unhideWhenUsed/>
    <w:rsid w:val="00ED3DC2"/>
    <w:pPr>
      <w:spacing w:after="100"/>
      <w:ind w:left="220"/>
    </w:pPr>
  </w:style>
  <w:style w:type="paragraph" w:styleId="31">
    <w:name w:val="toc 3"/>
    <w:basedOn w:val="a"/>
    <w:next w:val="a"/>
    <w:uiPriority w:val="39"/>
    <w:unhideWhenUsed/>
    <w:rsid w:val="00ED3DC2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ED3DC2"/>
    <w:rPr>
      <w:color w:val="0563C1"/>
      <w:u w:val="single"/>
    </w:rPr>
  </w:style>
  <w:style w:type="paragraph" w:customStyle="1" w:styleId="11">
    <w:name w:val="Абзац списка1"/>
    <w:basedOn w:val="a"/>
    <w:qFormat/>
    <w:rsid w:val="00ED3DC2"/>
    <w:pPr>
      <w:ind w:left="720"/>
      <w:contextualSpacing/>
      <w:jc w:val="left"/>
    </w:pPr>
    <w:rPr>
      <w:sz w:val="24"/>
      <w:szCs w:val="24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rsid w:val="00ED3DC2"/>
    <w:pPr>
      <w:spacing w:line="276" w:lineRule="auto"/>
      <w:jc w:val="left"/>
      <w:outlineLvl w:val="9"/>
    </w:pPr>
    <w:rPr>
      <w:rFonts w:ascii="Calibri Light" w:eastAsia="Times New Roman" w:hAnsi="Calibri Light" w:cs="Times New Roman"/>
      <w:color w:val="2D73B3"/>
    </w:rPr>
  </w:style>
  <w:style w:type="character" w:customStyle="1" w:styleId="10">
    <w:name w:val="Заголовок 1 Знак"/>
    <w:basedOn w:val="a0"/>
    <w:link w:val="1"/>
    <w:uiPriority w:val="9"/>
    <w:rsid w:val="00ED3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ED3D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3DC2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qFormat/>
    <w:rsid w:val="003E34CB"/>
    <w:pPr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13</Pages>
  <Words>2068</Words>
  <Characters>11790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HP_2</dc:creator>
  <cp:keywords/>
  <dc:description/>
  <cp:lastModifiedBy>HP_2</cp:lastModifiedBy>
  <cp:revision>44</cp:revision>
  <dcterms:created xsi:type="dcterms:W3CDTF">2017-01-27T10:53:00Z</dcterms:created>
  <dcterms:modified xsi:type="dcterms:W3CDTF">2018-01-30T14:52:00Z</dcterms:modified>
</cp:coreProperties>
</file>